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689" w:lineRule="exact"/>
        <w:ind w:left="0" w:right="0" w:firstLine="0"/>
        <w:jc w:val="center"/>
        <w:rPr>
          <w:sz w:val="22"/>
        </w:rPr>
      </w:pPr>
      <w:r>
        <w:rPr>
          <w:rFonts w:hint="eastAsia" w:ascii="方正小标宋_GBK" w:eastAsia="方正小标宋_GBK"/>
          <w:color w:val="231F20"/>
          <w:spacing w:val="-1"/>
          <w:sz w:val="44"/>
          <w:lang w:val="en-US" w:eastAsia="zh-CN"/>
        </w:rPr>
        <w:drawing>
          <wp:anchor distT="0" distB="0" distL="114300" distR="114300" simplePos="0" relativeHeight="251659264" behindDoc="0" locked="0" layoutInCell="1" allowOverlap="1">
            <wp:simplePos x="0" y="0"/>
            <wp:positionH relativeFrom="column">
              <wp:posOffset>-558165</wp:posOffset>
            </wp:positionH>
            <wp:positionV relativeFrom="paragraph">
              <wp:posOffset>-979170</wp:posOffset>
            </wp:positionV>
            <wp:extent cx="7577455" cy="10694670"/>
            <wp:effectExtent l="0" t="0" r="4445" b="11430"/>
            <wp:wrapNone/>
            <wp:docPr id="1" name="图片 1" descr="2 (2)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 (2) 拷贝"/>
                    <pic:cNvPicPr>
                      <a:picLocks noChangeAspect="1"/>
                    </pic:cNvPicPr>
                  </pic:nvPicPr>
                  <pic:blipFill>
                    <a:blip r:embed="rId10"/>
                    <a:stretch>
                      <a:fillRect/>
                    </a:stretch>
                  </pic:blipFill>
                  <pic:spPr>
                    <a:xfrm>
                      <a:off x="0" y="0"/>
                      <a:ext cx="7577455" cy="10694670"/>
                    </a:xfrm>
                    <a:prstGeom prst="rect">
                      <a:avLst/>
                    </a:prstGeom>
                  </pic:spPr>
                </pic:pic>
              </a:graphicData>
            </a:graphic>
          </wp:anchor>
        </w:drawing>
      </w: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both"/>
        <w:rPr>
          <w:rFonts w:hint="default"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sectPr>
          <w:footerReference r:id="rId5" w:type="default"/>
          <w:pgSz w:w="11910" w:h="16840"/>
          <w:pgMar w:top="1540" w:right="860" w:bottom="660" w:left="860" w:header="0" w:footer="473" w:gutter="0"/>
          <w:pgNumType w:start="1"/>
          <w:cols w:space="720" w:num="1"/>
        </w:sectPr>
      </w:pPr>
    </w:p>
    <w:p>
      <w:pPr>
        <w:tabs>
          <w:tab w:val="left" w:pos="659"/>
        </w:tabs>
        <w:spacing w:before="0" w:line="737" w:lineRule="exact"/>
        <w:ind w:left="0" w:right="0" w:firstLine="0"/>
        <w:jc w:val="center"/>
        <w:rPr>
          <w:rFonts w:hint="eastAsia" w:ascii="方正小标宋_GBK" w:eastAsia="方正小标宋_GBK"/>
          <w:color w:val="231F20"/>
          <w:spacing w:val="-10"/>
          <w:sz w:val="44"/>
        </w:rPr>
        <w:sectPr>
          <w:footerReference r:id="rId6" w:type="default"/>
          <w:pgSz w:w="11910" w:h="16840"/>
          <w:pgMar w:top="1040" w:right="860" w:bottom="660" w:left="860" w:header="0" w:footer="473" w:gutter="0"/>
          <w:pgNumType w:fmt="decimal" w:start="1"/>
          <w:cols w:space="720" w:num="1"/>
        </w:sectPr>
      </w:pPr>
    </w:p>
    <w:p>
      <w:pPr>
        <w:tabs>
          <w:tab w:val="left" w:pos="659"/>
        </w:tabs>
        <w:spacing w:before="0" w:line="737" w:lineRule="exact"/>
        <w:ind w:left="0" w:right="0" w:firstLine="0"/>
        <w:jc w:val="center"/>
        <w:rPr>
          <w:rFonts w:hint="eastAsia" w:ascii="方正小标宋_GBK" w:eastAsia="方正小标宋_GBK"/>
          <w:sz w:val="44"/>
        </w:rPr>
      </w:pPr>
      <w:r>
        <w:rPr>
          <w:rFonts w:hint="eastAsia" w:ascii="方正小标宋_GBK" w:eastAsia="方正小标宋_GBK"/>
          <w:color w:val="231F20"/>
          <w:spacing w:val="-10"/>
          <w:sz w:val="44"/>
        </w:rPr>
        <w:t>目</w:t>
      </w:r>
      <w:r>
        <w:rPr>
          <w:rFonts w:hint="eastAsia" w:ascii="方正小标宋_GBK" w:eastAsia="方正小标宋_GBK"/>
          <w:color w:val="231F20"/>
          <w:sz w:val="44"/>
        </w:rPr>
        <w:tab/>
      </w:r>
      <w:r>
        <w:rPr>
          <w:rFonts w:hint="eastAsia" w:ascii="方正小标宋_GBK" w:eastAsia="方正小标宋_GBK"/>
          <w:color w:val="231F20"/>
          <w:spacing w:val="-10"/>
          <w:sz w:val="44"/>
        </w:rPr>
        <w:t>录</w:t>
      </w:r>
    </w:p>
    <w:sdt>
      <w:sdtPr>
        <w:rPr>
          <w:rFonts w:ascii="宋体" w:hAnsi="宋体" w:eastAsia="宋体" w:cs="仿宋_GB2312"/>
          <w:sz w:val="21"/>
          <w:szCs w:val="22"/>
          <w:lang w:val="en-US" w:eastAsia="zh-CN" w:bidi="ar-SA"/>
        </w:rPr>
        <w:id w:val="147473617"/>
        <w15:color w:val="DBDBDB"/>
        <w:docPartObj>
          <w:docPartGallery w:val="Table of Contents"/>
          <w:docPartUnique/>
        </w:docPartObj>
      </w:sdtPr>
      <w:sdtEndPr>
        <w:rPr>
          <w:rFonts w:hint="eastAsia" w:ascii="仿宋_GB2312" w:hAnsi="仿宋_GB2312" w:eastAsia="仿宋_GB2312" w:cs="仿宋_GB2312"/>
          <w:color w:val="050100"/>
          <w:spacing w:val="-2"/>
          <w:sz w:val="32"/>
          <w:szCs w:val="32"/>
          <w:lang w:val="en-US" w:eastAsia="zh-CN"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color w:val="050100"/>
              <w:spacing w:val="-2"/>
              <w:sz w:val="32"/>
              <w:szCs w:val="32"/>
              <w:lang w:val="en-US" w:eastAsia="zh-CN" w:bidi="ar-SA"/>
            </w:rPr>
            <w:fldChar w:fldCharType="begin"/>
          </w:r>
          <w:r>
            <w:rPr>
              <w:rFonts w:hint="eastAsia" w:ascii="仿宋_GB2312" w:hAnsi="仿宋_GB2312" w:eastAsia="仿宋_GB2312" w:cs="仿宋_GB2312"/>
              <w:color w:val="050100"/>
              <w:spacing w:val="-2"/>
              <w:sz w:val="32"/>
              <w:szCs w:val="32"/>
              <w:lang w:val="en-US" w:eastAsia="zh-CN" w:bidi="ar-SA"/>
            </w:rPr>
            <w:instrText xml:space="preserve">TOC \o "1-1" \h \u </w:instrText>
          </w:r>
          <w:r>
            <w:rPr>
              <w:rFonts w:hint="eastAsia" w:ascii="仿宋_GB2312" w:hAnsi="仿宋_GB2312" w:eastAsia="仿宋_GB2312" w:cs="仿宋_GB2312"/>
              <w:color w:val="050100"/>
              <w:spacing w:val="-2"/>
              <w:sz w:val="32"/>
              <w:szCs w:val="32"/>
              <w:lang w:val="en-US" w:eastAsia="zh-CN" w:bidi="ar-SA"/>
            </w:rPr>
            <w:fldChar w:fldCharType="separate"/>
          </w:r>
          <w:r>
            <w:rPr>
              <w:rFonts w:hint="eastAsia" w:ascii="仿宋_GB2312" w:hAnsi="仿宋_GB2312" w:eastAsia="仿宋_GB2312" w:cs="仿宋_GB2312"/>
              <w:color w:val="050100"/>
              <w:spacing w:val="-2"/>
              <w:sz w:val="32"/>
              <w:szCs w:val="32"/>
              <w:lang w:val="en-US" w:eastAsia="zh-CN" w:bidi="ar-SA"/>
            </w:rPr>
            <w:fldChar w:fldCharType="begin"/>
          </w:r>
          <w:r>
            <w:rPr>
              <w:rFonts w:hint="eastAsia" w:ascii="仿宋_GB2312" w:hAnsi="仿宋_GB2312" w:eastAsia="仿宋_GB2312" w:cs="仿宋_GB2312"/>
              <w:spacing w:val="-2"/>
              <w:sz w:val="32"/>
              <w:szCs w:val="32"/>
              <w:lang w:val="en-US" w:eastAsia="zh-CN" w:bidi="ar-SA"/>
            </w:rPr>
            <w:instrText xml:space="preserve"> HYPERLINK \l _Toc287 </w:instrText>
          </w:r>
          <w:r>
            <w:rPr>
              <w:rFonts w:hint="eastAsia" w:ascii="仿宋_GB2312" w:hAnsi="仿宋_GB2312" w:eastAsia="仿宋_GB2312" w:cs="仿宋_GB2312"/>
              <w:spacing w:val="-2"/>
              <w:sz w:val="32"/>
              <w:szCs w:val="32"/>
              <w:lang w:val="en-US" w:eastAsia="zh-CN" w:bidi="ar-SA"/>
            </w:rPr>
            <w:fldChar w:fldCharType="separate"/>
          </w:r>
          <w:r>
            <w:rPr>
              <w:rFonts w:hint="eastAsia" w:ascii="仿宋_GB2312" w:hAnsi="仿宋_GB2312" w:eastAsia="仿宋_GB2312" w:cs="仿宋_GB2312"/>
              <w:sz w:val="32"/>
              <w:szCs w:val="32"/>
              <w:lang w:val="en-US" w:eastAsia="zh-CN"/>
            </w:rPr>
            <w:t>教学主题综述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50100"/>
              <w:spacing w:val="-2"/>
              <w:sz w:val="32"/>
              <w:szCs w:val="32"/>
              <w:lang w:val="en-US" w:eastAsia="zh-CN" w:bidi="ar-SA"/>
            </w:rPr>
            <w:fldChar w:fldCharType="end"/>
          </w:r>
        </w:p>
        <w:p>
          <w:pPr>
            <w:pStyle w:val="13"/>
            <w:tabs>
              <w:tab w:val="right" w:leader="dot" w:pos="10190"/>
            </w:tabs>
            <w:rPr>
              <w:rFonts w:hint="eastAsia" w:ascii="仿宋_GB2312" w:hAnsi="仿宋_GB2312" w:eastAsia="仿宋_GB2312" w:cs="仿宋_GB2312"/>
              <w:color w:val="050100"/>
              <w:spacing w:val="-2"/>
              <w:sz w:val="32"/>
              <w:szCs w:val="32"/>
              <w:lang w:val="en-US" w:eastAsia="zh-CN" w:bidi="ar-SA"/>
            </w:rPr>
          </w:pPr>
        </w:p>
        <w:p>
          <w:pPr>
            <w:pStyle w:val="13"/>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color w:val="050100"/>
              <w:spacing w:val="-2"/>
              <w:sz w:val="32"/>
              <w:szCs w:val="32"/>
              <w:lang w:val="en-US" w:eastAsia="zh-CN" w:bidi="ar-SA"/>
            </w:rPr>
            <w:fldChar w:fldCharType="begin"/>
          </w:r>
          <w:r>
            <w:rPr>
              <w:rFonts w:hint="eastAsia" w:ascii="仿宋_GB2312" w:hAnsi="仿宋_GB2312" w:eastAsia="仿宋_GB2312" w:cs="仿宋_GB2312"/>
              <w:spacing w:val="-2"/>
              <w:sz w:val="32"/>
              <w:szCs w:val="32"/>
              <w:lang w:val="en-US" w:eastAsia="zh-CN" w:bidi="ar-SA"/>
            </w:rPr>
            <w:instrText xml:space="preserve"> HYPERLINK \l _Toc13830 </w:instrText>
          </w:r>
          <w:r>
            <w:rPr>
              <w:rFonts w:hint="eastAsia" w:ascii="仿宋_GB2312" w:hAnsi="仿宋_GB2312" w:eastAsia="仿宋_GB2312" w:cs="仿宋_GB2312"/>
              <w:spacing w:val="-2"/>
              <w:sz w:val="32"/>
              <w:szCs w:val="32"/>
              <w:lang w:val="en-US" w:eastAsia="zh-CN" w:bidi="ar-SA"/>
            </w:rPr>
            <w:fldChar w:fldCharType="separate"/>
          </w:r>
          <w:r>
            <w:rPr>
              <w:rFonts w:hint="eastAsia" w:ascii="仿宋_GB2312" w:hAnsi="仿宋_GB2312" w:eastAsia="仿宋_GB2312" w:cs="仿宋_GB2312"/>
              <w:sz w:val="32"/>
              <w:szCs w:val="32"/>
              <w:lang w:val="en-US" w:eastAsia="zh-CN"/>
            </w:rPr>
            <w:t>专题一：党建引领 人民至上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_Toc13830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50100"/>
              <w:spacing w:val="-2"/>
              <w:sz w:val="32"/>
              <w:szCs w:val="32"/>
              <w:lang w:val="en-US" w:eastAsia="zh-CN" w:bidi="ar-SA"/>
            </w:rPr>
            <w:fldChar w:fldCharType="end"/>
          </w:r>
        </w:p>
        <w:p>
          <w:pPr>
            <w:pStyle w:val="13"/>
            <w:tabs>
              <w:tab w:val="right" w:leader="dot" w:pos="10190"/>
            </w:tabs>
            <w:rPr>
              <w:rFonts w:hint="eastAsia" w:ascii="仿宋_GB2312" w:hAnsi="仿宋_GB2312" w:eastAsia="仿宋_GB2312" w:cs="仿宋_GB2312"/>
              <w:color w:val="050100"/>
              <w:spacing w:val="-2"/>
              <w:sz w:val="32"/>
              <w:szCs w:val="32"/>
              <w:lang w:val="en-US" w:eastAsia="zh-CN" w:bidi="ar-SA"/>
            </w:rPr>
          </w:pPr>
        </w:p>
        <w:p>
          <w:pPr>
            <w:pStyle w:val="13"/>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color w:val="050100"/>
              <w:spacing w:val="-2"/>
              <w:sz w:val="32"/>
              <w:szCs w:val="32"/>
              <w:lang w:val="en-US" w:eastAsia="zh-CN" w:bidi="ar-SA"/>
            </w:rPr>
            <w:fldChar w:fldCharType="begin"/>
          </w:r>
          <w:r>
            <w:rPr>
              <w:rFonts w:hint="eastAsia" w:ascii="仿宋_GB2312" w:hAnsi="仿宋_GB2312" w:eastAsia="仿宋_GB2312" w:cs="仿宋_GB2312"/>
              <w:spacing w:val="-2"/>
              <w:sz w:val="32"/>
              <w:szCs w:val="32"/>
              <w:lang w:val="en-US" w:eastAsia="zh-CN" w:bidi="ar-SA"/>
            </w:rPr>
            <w:instrText xml:space="preserve"> HYPERLINK \l _Toc6617 </w:instrText>
          </w:r>
          <w:r>
            <w:rPr>
              <w:rFonts w:hint="eastAsia" w:ascii="仿宋_GB2312" w:hAnsi="仿宋_GB2312" w:eastAsia="仿宋_GB2312" w:cs="仿宋_GB2312"/>
              <w:spacing w:val="-2"/>
              <w:sz w:val="32"/>
              <w:szCs w:val="32"/>
              <w:lang w:val="en-US" w:eastAsia="zh-CN" w:bidi="ar-SA"/>
            </w:rPr>
            <w:fldChar w:fldCharType="separate"/>
          </w:r>
          <w:r>
            <w:rPr>
              <w:rFonts w:hint="eastAsia" w:ascii="仿宋_GB2312" w:hAnsi="仿宋_GB2312" w:eastAsia="仿宋_GB2312" w:cs="仿宋_GB2312"/>
              <w:sz w:val="32"/>
              <w:szCs w:val="32"/>
              <w:lang w:val="en-US" w:eastAsia="zh-CN"/>
            </w:rPr>
            <w:t>专题二：党建引领 效能建设</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_Toc6617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50100"/>
              <w:spacing w:val="-2"/>
              <w:sz w:val="32"/>
              <w:szCs w:val="32"/>
              <w:lang w:val="en-US" w:eastAsia="zh-CN" w:bidi="ar-SA"/>
            </w:rPr>
            <w:fldChar w:fldCharType="end"/>
          </w:r>
        </w:p>
        <w:p>
          <w:pPr>
            <w:pStyle w:val="13"/>
            <w:tabs>
              <w:tab w:val="right" w:leader="dot" w:pos="10190"/>
            </w:tabs>
            <w:rPr>
              <w:rFonts w:hint="eastAsia" w:ascii="仿宋_GB2312" w:hAnsi="仿宋_GB2312" w:eastAsia="仿宋_GB2312" w:cs="仿宋_GB2312"/>
              <w:color w:val="050100"/>
              <w:spacing w:val="-2"/>
              <w:sz w:val="32"/>
              <w:szCs w:val="32"/>
              <w:lang w:val="en-US" w:eastAsia="zh-CN" w:bidi="ar-SA"/>
            </w:rPr>
          </w:pPr>
        </w:p>
        <w:p>
          <w:pPr>
            <w:pStyle w:val="13"/>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color w:val="050100"/>
              <w:spacing w:val="-2"/>
              <w:sz w:val="32"/>
              <w:szCs w:val="32"/>
              <w:lang w:val="en-US" w:eastAsia="zh-CN" w:bidi="ar-SA"/>
            </w:rPr>
            <w:fldChar w:fldCharType="begin"/>
          </w:r>
          <w:r>
            <w:rPr>
              <w:rFonts w:hint="eastAsia" w:ascii="仿宋_GB2312" w:hAnsi="仿宋_GB2312" w:eastAsia="仿宋_GB2312" w:cs="仿宋_GB2312"/>
              <w:spacing w:val="-2"/>
              <w:sz w:val="32"/>
              <w:szCs w:val="32"/>
              <w:lang w:val="en-US" w:eastAsia="zh-CN" w:bidi="ar-SA"/>
            </w:rPr>
            <w:instrText xml:space="preserve"> HYPERLINK \l _Toc27830 </w:instrText>
          </w:r>
          <w:r>
            <w:rPr>
              <w:rFonts w:hint="eastAsia" w:ascii="仿宋_GB2312" w:hAnsi="仿宋_GB2312" w:eastAsia="仿宋_GB2312" w:cs="仿宋_GB2312"/>
              <w:spacing w:val="-2"/>
              <w:sz w:val="32"/>
              <w:szCs w:val="32"/>
              <w:lang w:val="en-US" w:eastAsia="zh-CN" w:bidi="ar-SA"/>
            </w:rPr>
            <w:fldChar w:fldCharType="separate"/>
          </w:r>
          <w:r>
            <w:rPr>
              <w:rFonts w:hint="eastAsia" w:ascii="仿宋_GB2312" w:hAnsi="仿宋_GB2312" w:eastAsia="仿宋_GB2312" w:cs="仿宋_GB2312"/>
              <w:sz w:val="32"/>
              <w:szCs w:val="32"/>
              <w:lang w:val="en-US" w:eastAsia="zh-CN"/>
            </w:rPr>
            <w:t>专题三：党建引领 守正创新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_Toc27830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50100"/>
              <w:spacing w:val="-2"/>
              <w:sz w:val="32"/>
              <w:szCs w:val="32"/>
              <w:lang w:val="en-US" w:eastAsia="zh-CN" w:bidi="ar-SA"/>
            </w:rPr>
            <w:fldChar w:fldCharType="end"/>
          </w:r>
        </w:p>
        <w:p>
          <w:pPr>
            <w:pStyle w:val="13"/>
            <w:tabs>
              <w:tab w:val="right" w:leader="dot" w:pos="10190"/>
            </w:tabs>
            <w:rPr>
              <w:rFonts w:hint="eastAsia" w:ascii="仿宋_GB2312" w:hAnsi="仿宋_GB2312" w:eastAsia="仿宋_GB2312" w:cs="仿宋_GB2312"/>
              <w:color w:val="050100"/>
              <w:spacing w:val="-2"/>
              <w:sz w:val="32"/>
              <w:szCs w:val="32"/>
              <w:lang w:val="en-US" w:eastAsia="zh-CN" w:bidi="ar-SA"/>
            </w:rPr>
          </w:pPr>
        </w:p>
        <w:p>
          <w:pPr>
            <w:pStyle w:val="13"/>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color w:val="050100"/>
              <w:spacing w:val="-2"/>
              <w:sz w:val="32"/>
              <w:szCs w:val="32"/>
              <w:lang w:val="en-US" w:eastAsia="zh-CN" w:bidi="ar-SA"/>
            </w:rPr>
            <w:fldChar w:fldCharType="begin"/>
          </w:r>
          <w:r>
            <w:rPr>
              <w:rFonts w:hint="eastAsia" w:ascii="仿宋_GB2312" w:hAnsi="仿宋_GB2312" w:eastAsia="仿宋_GB2312" w:cs="仿宋_GB2312"/>
              <w:spacing w:val="-2"/>
              <w:sz w:val="32"/>
              <w:szCs w:val="32"/>
              <w:lang w:val="en-US" w:eastAsia="zh-CN" w:bidi="ar-SA"/>
            </w:rPr>
            <w:instrText xml:space="preserve"> HYPERLINK \l _Toc10063 </w:instrText>
          </w:r>
          <w:r>
            <w:rPr>
              <w:rFonts w:hint="eastAsia" w:ascii="仿宋_GB2312" w:hAnsi="仿宋_GB2312" w:eastAsia="仿宋_GB2312" w:cs="仿宋_GB2312"/>
              <w:spacing w:val="-2"/>
              <w:sz w:val="32"/>
              <w:szCs w:val="32"/>
              <w:lang w:val="en-US" w:eastAsia="zh-CN" w:bidi="ar-SA"/>
            </w:rPr>
            <w:fldChar w:fldCharType="separate"/>
          </w:r>
          <w:r>
            <w:rPr>
              <w:rFonts w:hint="eastAsia" w:ascii="仿宋_GB2312" w:hAnsi="仿宋_GB2312" w:eastAsia="仿宋_GB2312" w:cs="仿宋_GB2312"/>
              <w:sz w:val="32"/>
              <w:szCs w:val="32"/>
              <w:lang w:val="en-US" w:eastAsia="zh-CN"/>
            </w:rPr>
            <w:t>专题四：党建引领 依法履职</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_Toc10063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50100"/>
              <w:spacing w:val="-2"/>
              <w:sz w:val="32"/>
              <w:szCs w:val="32"/>
              <w:lang w:val="en-US" w:eastAsia="zh-CN" w:bidi="ar-SA"/>
            </w:rPr>
            <w:fldChar w:fldCharType="end"/>
          </w:r>
        </w:p>
        <w:p>
          <w:pPr>
            <w:pStyle w:val="3"/>
            <w:numPr>
              <w:ilvl w:val="0"/>
              <w:numId w:val="0"/>
            </w:numPr>
            <w:spacing w:before="134"/>
            <w:ind w:left="0" w:leftChars="0" w:right="0" w:rightChars="0" w:firstLine="0" w:firstLineChars="0"/>
            <w:jc w:val="center"/>
            <w:rPr>
              <w:rFonts w:hint="eastAsia" w:ascii="仿宋_GB2312" w:hAnsi="仿宋_GB2312" w:eastAsia="仿宋_GB2312" w:cs="仿宋_GB2312"/>
              <w:color w:val="050100"/>
              <w:spacing w:val="-2"/>
              <w:sz w:val="32"/>
              <w:szCs w:val="32"/>
              <w:lang w:val="en-US" w:eastAsia="zh-CN" w:bidi="ar-SA"/>
            </w:rPr>
          </w:pPr>
          <w:r>
            <w:rPr>
              <w:rFonts w:hint="eastAsia" w:ascii="仿宋_GB2312" w:hAnsi="仿宋_GB2312" w:eastAsia="仿宋_GB2312" w:cs="仿宋_GB2312"/>
              <w:color w:val="050100"/>
              <w:spacing w:val="-2"/>
              <w:sz w:val="32"/>
              <w:szCs w:val="32"/>
              <w:lang w:val="en-US" w:eastAsia="zh-CN" w:bidi="ar-SA"/>
            </w:rPr>
            <w:fldChar w:fldCharType="end"/>
          </w:r>
        </w:p>
      </w:sdtContent>
    </w:sdt>
    <w:p>
      <w:pPr>
        <w:numPr>
          <w:ilvl w:val="0"/>
          <w:numId w:val="0"/>
        </w:numPr>
        <w:spacing w:before="0" w:line="648" w:lineRule="exact"/>
        <w:ind w:left="0" w:leftChars="0" w:right="0" w:rightChars="0" w:firstLine="0" w:firstLineChars="0"/>
        <w:jc w:val="center"/>
        <w:rPr>
          <w:rFonts w:hint="eastAsia" w:ascii="方正小标宋_GBK" w:hAnsi="方正小标宋_GBK" w:eastAsia="方正小标宋_GBK" w:cs="仿宋_GB2312"/>
          <w:color w:val="231F20"/>
          <w:sz w:val="44"/>
          <w:szCs w:val="22"/>
          <w:lang w:val="en-US" w:eastAsia="zh-CN" w:bidi="ar-SA"/>
        </w:rPr>
        <w:sectPr>
          <w:pgSz w:w="11910" w:h="16840"/>
          <w:pgMar w:top="1040" w:right="860" w:bottom="660" w:left="860" w:header="0" w:footer="473" w:gutter="0"/>
          <w:pgNumType w:fmt="decimal" w:start="1"/>
          <w:cols w:space="720" w:num="1"/>
        </w:sectPr>
      </w:pPr>
    </w:p>
    <w:p>
      <w:pPr>
        <w:numPr>
          <w:ilvl w:val="0"/>
          <w:numId w:val="0"/>
        </w:numPr>
        <w:spacing w:before="0" w:line="648" w:lineRule="exact"/>
        <w:ind w:left="0" w:leftChars="0" w:right="0" w:rightChars="0" w:firstLine="0" w:firstLineChars="0"/>
        <w:jc w:val="center"/>
        <w:rPr>
          <w:rFonts w:hint="eastAsia" w:ascii="方正小标宋_GBK" w:hAnsi="方正小标宋_GBK" w:eastAsia="方正小标宋_GBK" w:cs="仿宋_GB2312"/>
          <w:color w:val="231F20"/>
          <w:sz w:val="44"/>
          <w:szCs w:val="22"/>
          <w:lang w:val="en-US" w:eastAsia="zh-CN" w:bidi="ar-SA"/>
        </w:rPr>
        <w:sectPr>
          <w:pgSz w:w="11910" w:h="16840"/>
          <w:pgMar w:top="1040" w:right="860" w:bottom="660" w:left="860" w:header="0" w:footer="473" w:gutter="0"/>
          <w:pgNumType w:fmt="decimal" w:start="1"/>
          <w:cols w:space="720" w:num="1"/>
        </w:sectPr>
      </w:pPr>
    </w:p>
    <w:p>
      <w:pPr>
        <w:pStyle w:val="2"/>
        <w:bidi w:val="0"/>
        <w:rPr>
          <w:rFonts w:hint="eastAsia"/>
          <w:lang w:val="en-US" w:eastAsia="zh-CN"/>
        </w:rPr>
      </w:pPr>
      <w:bookmarkStart w:id="0" w:name="_Toc287"/>
      <w:r>
        <w:rPr>
          <w:rFonts w:hint="eastAsia"/>
          <w:lang w:val="en-US" w:eastAsia="zh-CN"/>
        </w:rPr>
        <w:t>教学主题综述</w:t>
      </w:r>
      <w:bookmarkEnd w:id="0"/>
    </w:p>
    <w:p>
      <w:pPr>
        <w:keepNext w:val="0"/>
        <w:keepLines w:val="0"/>
        <w:widowControl/>
        <w:suppressLineNumbers w:val="0"/>
        <w:jc w:val="left"/>
        <w:rPr>
          <w:rFonts w:hint="eastAsia" w:ascii="仿宋_GB2312" w:hAnsi="仿宋_GB2312" w:eastAsia="仿宋_GB2312"/>
          <w:color w:val="030000"/>
          <w:sz w:val="32"/>
          <w:szCs w:val="24"/>
          <w:lang w:val="en-US" w:eastAsia="zh-CN"/>
        </w:rPr>
      </w:pPr>
    </w:p>
    <w:p>
      <w:pPr>
        <w:keepNext w:val="0"/>
        <w:keepLines w:val="0"/>
        <w:widowControl/>
        <w:suppressLineNumbers w:val="0"/>
        <w:jc w:val="left"/>
        <w:rPr>
          <w:rFonts w:hint="eastAsia" w:ascii="仿宋_GB2312" w:hAnsi="仿宋_GB2312" w:eastAsia="仿宋_GB2312"/>
          <w:color w:val="030000"/>
          <w:sz w:val="32"/>
          <w:szCs w:val="24"/>
          <w:lang w:val="en-US" w:eastAsia="zh-CN"/>
        </w:rPr>
      </w:pP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640" w:firstLineChars="200"/>
        <w:jc w:val="left"/>
        <w:textAlignment w:val="auto"/>
        <w:rPr>
          <w:rFonts w:hint="eastAsia" w:ascii="仿宋_GB2312" w:hAnsi="宋体" w:eastAsia="仿宋_GB2312" w:cs="仿宋_GB2312"/>
          <w:color w:val="030303"/>
          <w:kern w:val="0"/>
          <w:sz w:val="32"/>
          <w:szCs w:val="32"/>
          <w:lang w:val="en-US" w:eastAsia="zh-CN" w:bidi="ar"/>
        </w:rPr>
      </w:pPr>
      <w:r>
        <w:rPr>
          <w:rFonts w:hint="eastAsia" w:ascii="仿宋_GB2312" w:hAnsi="仿宋_GB2312" w:eastAsia="仿宋_GB2312"/>
          <w:color w:val="030000"/>
          <w:sz w:val="32"/>
          <w:szCs w:val="24"/>
          <w:lang w:val="en-US" w:eastAsia="zh-CN"/>
        </w:rPr>
        <w:t>近年来，</w:t>
      </w:r>
      <w:r>
        <w:rPr>
          <w:rFonts w:ascii="仿宋_GB2312" w:hAnsi="宋体" w:eastAsia="仿宋_GB2312" w:cs="仿宋_GB2312"/>
          <w:color w:val="030303"/>
          <w:kern w:val="0"/>
          <w:sz w:val="32"/>
          <w:szCs w:val="32"/>
          <w:lang w:val="en-US" w:eastAsia="zh-CN" w:bidi="ar"/>
        </w:rPr>
        <w:t>昆明市人大常委会党组紧扣“四个机关”定位</w:t>
      </w:r>
      <w:r>
        <w:rPr>
          <w:rFonts w:hint="eastAsia" w:ascii="仿宋_GB2312" w:hAnsi="宋体" w:eastAsia="仿宋_GB2312" w:cs="仿宋_GB2312"/>
          <w:color w:val="030303"/>
          <w:kern w:val="0"/>
          <w:sz w:val="32"/>
          <w:szCs w:val="32"/>
          <w:lang w:val="en-US" w:eastAsia="zh-CN" w:bidi="ar"/>
        </w:rPr>
        <w:t>要求，积极探索地方人大机关党建工作新路径，着力破解机关党建难题，推动党建与业务融合互进、同频共振，用高质量党建之笔绘就人大工作高质量发展新画卷，被列为云南省干部教育培训昆明片区基层党建现场教学精品路线现场教学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640" w:firstLineChars="200"/>
        <w:jc w:val="left"/>
        <w:textAlignment w:val="auto"/>
        <w:rPr>
          <w:rFonts w:hint="default"/>
          <w:color w:val="030000"/>
          <w:sz w:val="32"/>
          <w:szCs w:val="24"/>
          <w:lang w:val="en-US" w:eastAsia="zh-CN"/>
        </w:rPr>
      </w:pPr>
      <w:r>
        <w:rPr>
          <w:rFonts w:hint="eastAsia" w:ascii="仿宋_GB2312" w:hAnsi="仿宋_GB2312" w:eastAsia="仿宋_GB2312"/>
          <w:color w:val="030000"/>
          <w:sz w:val="32"/>
          <w:szCs w:val="24"/>
          <w:lang w:val="en-US" w:eastAsia="zh-CN"/>
        </w:rPr>
        <w:t>教学点</w:t>
      </w:r>
      <w:r>
        <w:rPr>
          <w:rFonts w:hint="eastAsia" w:ascii="仿宋_GB2312" w:hAnsi="仿宋_GB2312" w:eastAsia="仿宋_GB2312"/>
          <w:color w:val="030000"/>
          <w:sz w:val="32"/>
          <w:szCs w:val="24"/>
        </w:rPr>
        <w:t>现场教学主题为“</w:t>
      </w:r>
      <w:r>
        <w:rPr>
          <w:rFonts w:hint="eastAsia" w:ascii="仿宋_GB2312" w:hAnsi="仿宋_GB2312" w:eastAsia="仿宋_GB2312"/>
          <w:color w:val="030000"/>
          <w:sz w:val="32"/>
          <w:szCs w:val="24"/>
          <w:lang w:val="en-US" w:eastAsia="zh-CN"/>
        </w:rPr>
        <w:t>破解机关党建难题，</w:t>
      </w:r>
      <w:r>
        <w:rPr>
          <w:rFonts w:hint="eastAsia" w:ascii="仿宋_GB2312" w:hAnsi="仿宋_GB2312" w:eastAsia="仿宋_GB2312"/>
          <w:color w:val="030000"/>
          <w:sz w:val="32"/>
          <w:szCs w:val="24"/>
        </w:rPr>
        <w:t>全面提高</w:t>
      </w:r>
      <w:r>
        <w:rPr>
          <w:rFonts w:hint="eastAsia" w:ascii="仿宋_GB2312" w:hAnsi="仿宋_GB2312" w:eastAsia="仿宋_GB2312"/>
          <w:color w:val="030000"/>
          <w:sz w:val="32"/>
          <w:szCs w:val="24"/>
          <w:lang w:val="en-US" w:eastAsia="zh-CN"/>
        </w:rPr>
        <w:t>新时代</w:t>
      </w:r>
      <w:r>
        <w:rPr>
          <w:rFonts w:hint="eastAsia" w:ascii="仿宋_GB2312" w:hAnsi="仿宋_GB2312" w:eastAsia="仿宋_GB2312"/>
          <w:color w:val="030000"/>
          <w:sz w:val="32"/>
          <w:szCs w:val="24"/>
        </w:rPr>
        <w:t>机关党建质量”</w:t>
      </w:r>
      <w:r>
        <w:rPr>
          <w:rFonts w:hint="eastAsia"/>
          <w:color w:val="030000"/>
          <w:sz w:val="32"/>
          <w:szCs w:val="24"/>
          <w:lang w:eastAsia="zh-CN"/>
        </w:rPr>
        <w:t>，</w:t>
      </w:r>
      <w:r>
        <w:rPr>
          <w:rFonts w:hint="eastAsia" w:hAnsi="宋体" w:cs="仿宋_GB2312"/>
          <w:color w:val="030303"/>
          <w:kern w:val="0"/>
          <w:sz w:val="32"/>
          <w:szCs w:val="32"/>
          <w:lang w:val="en-US" w:eastAsia="zh-CN" w:bidi="ar"/>
        </w:rPr>
        <w:t>该主题</w:t>
      </w:r>
      <w:r>
        <w:rPr>
          <w:rFonts w:ascii="仿宋_GB2312" w:hAnsi="宋体" w:eastAsia="仿宋_GB2312" w:cs="仿宋_GB2312"/>
          <w:color w:val="030303"/>
          <w:kern w:val="0"/>
          <w:sz w:val="32"/>
          <w:szCs w:val="32"/>
          <w:lang w:val="en-US" w:eastAsia="zh-CN" w:bidi="ar"/>
        </w:rPr>
        <w:t>下设“党建引领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人民至上”“党建引领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效能建设”“党建引领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守正创新”“党建引领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依法履职”4个专题</w:t>
      </w:r>
      <w:r>
        <w:rPr>
          <w:rFonts w:hint="eastAsia" w:hAnsi="宋体" w:cs="仿宋_GB2312"/>
          <w:color w:val="030303"/>
          <w:kern w:val="0"/>
          <w:sz w:val="32"/>
          <w:szCs w:val="32"/>
          <w:lang w:val="en-US" w:eastAsia="zh-CN" w:bidi="ar"/>
        </w:rPr>
        <w:t>：“党建引领、人民至上”突出体现人大机关党建的核心理念，阐明人大机关党建的政治方向；</w:t>
      </w:r>
      <w:r>
        <w:rPr>
          <w:rFonts w:hint="eastAsia" w:ascii="仿宋_GB2312" w:hAnsi="宋体" w:eastAsia="仿宋_GB2312" w:cs="仿宋_GB2312"/>
          <w:color w:val="030303"/>
          <w:kern w:val="0"/>
          <w:sz w:val="32"/>
          <w:szCs w:val="32"/>
          <w:lang w:val="en-US" w:eastAsia="zh-CN" w:bidi="ar"/>
        </w:rPr>
        <w:t>“党建引领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效能建设”</w:t>
      </w:r>
      <w:r>
        <w:rPr>
          <w:rFonts w:hint="eastAsia" w:hAnsi="宋体" w:cs="仿宋_GB2312"/>
          <w:color w:val="030303"/>
          <w:kern w:val="0"/>
          <w:sz w:val="32"/>
          <w:szCs w:val="32"/>
          <w:lang w:val="en-US" w:eastAsia="zh-CN" w:bidi="ar"/>
        </w:rPr>
        <w:t>突出体现人大机关党建的作风要求，阐明人大机关党建的队伍要素；</w:t>
      </w:r>
      <w:r>
        <w:rPr>
          <w:rFonts w:hint="eastAsia" w:ascii="仿宋_GB2312" w:hAnsi="宋体" w:eastAsia="仿宋_GB2312" w:cs="仿宋_GB2312"/>
          <w:color w:val="030303"/>
          <w:kern w:val="0"/>
          <w:sz w:val="32"/>
          <w:szCs w:val="32"/>
          <w:lang w:val="en-US" w:eastAsia="zh-CN" w:bidi="ar"/>
        </w:rPr>
        <w:t>“党建引领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守正创新”</w:t>
      </w:r>
      <w:r>
        <w:rPr>
          <w:rFonts w:hint="eastAsia" w:hAnsi="宋体" w:cs="仿宋_GB2312"/>
          <w:color w:val="030303"/>
          <w:kern w:val="0"/>
          <w:sz w:val="32"/>
          <w:szCs w:val="32"/>
          <w:lang w:val="en-US" w:eastAsia="zh-CN" w:bidi="ar"/>
        </w:rPr>
        <w:t>突出体现人大机关党建的特色亮点，阐明了人大机关党建的驱动力所在；</w:t>
      </w:r>
      <w:r>
        <w:rPr>
          <w:rFonts w:hint="eastAsia" w:ascii="仿宋_GB2312" w:hAnsi="宋体" w:eastAsia="仿宋_GB2312" w:cs="仿宋_GB2312"/>
          <w:color w:val="030303"/>
          <w:kern w:val="0"/>
          <w:sz w:val="32"/>
          <w:szCs w:val="32"/>
          <w:lang w:val="en-US" w:eastAsia="zh-CN" w:bidi="ar"/>
        </w:rPr>
        <w:t>“党建引领</w:t>
      </w:r>
      <w:r>
        <w:rPr>
          <w:rFonts w:hint="eastAsia" w:hAnsi="宋体" w:cs="仿宋_GB2312"/>
          <w:color w:val="030303"/>
          <w:kern w:val="0"/>
          <w:sz w:val="32"/>
          <w:szCs w:val="32"/>
          <w:lang w:val="en-US" w:eastAsia="zh-CN" w:bidi="ar"/>
        </w:rPr>
        <w:t>、</w:t>
      </w:r>
      <w:r>
        <w:rPr>
          <w:rFonts w:hint="eastAsia" w:ascii="仿宋_GB2312" w:hAnsi="宋体" w:eastAsia="仿宋_GB2312" w:cs="仿宋_GB2312"/>
          <w:color w:val="030303"/>
          <w:kern w:val="0"/>
          <w:sz w:val="32"/>
          <w:szCs w:val="32"/>
          <w:lang w:val="en-US" w:eastAsia="zh-CN" w:bidi="ar"/>
        </w:rPr>
        <w:t>依法履职”</w:t>
      </w:r>
      <w:r>
        <w:rPr>
          <w:rFonts w:hint="eastAsia" w:hAnsi="宋体" w:cs="仿宋_GB2312"/>
          <w:color w:val="030303"/>
          <w:kern w:val="0"/>
          <w:sz w:val="32"/>
          <w:szCs w:val="32"/>
          <w:lang w:val="en-US" w:eastAsia="zh-CN" w:bidi="ar"/>
        </w:rPr>
        <w:t>突出体现人大“四项基本职能”的发挥和落实，阐明了人大机关党建的落脚点所在。</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640" w:firstLineChars="200"/>
        <w:jc w:val="left"/>
        <w:textAlignment w:val="auto"/>
        <w:rPr>
          <w:rFonts w:hint="eastAsia"/>
          <w:lang w:eastAsia="zh-CN"/>
        </w:rPr>
      </w:pPr>
      <w:r>
        <w:rPr>
          <w:rFonts w:hint="eastAsia" w:ascii="仿宋_GB2312" w:hAnsi="仿宋_GB2312" w:eastAsia="仿宋_GB2312"/>
          <w:color w:val="030000"/>
          <w:sz w:val="32"/>
          <w:szCs w:val="24"/>
          <w:lang w:val="en-US" w:eastAsia="zh-CN"/>
        </w:rPr>
        <w:t>围绕该</w:t>
      </w:r>
      <w:r>
        <w:rPr>
          <w:rFonts w:hint="eastAsia"/>
          <w:color w:val="030000"/>
          <w:sz w:val="32"/>
          <w:szCs w:val="24"/>
          <w:lang w:val="en-US" w:eastAsia="zh-CN"/>
        </w:rPr>
        <w:t>教学</w:t>
      </w:r>
      <w:r>
        <w:rPr>
          <w:rFonts w:hint="eastAsia" w:ascii="仿宋_GB2312" w:hAnsi="仿宋_GB2312" w:eastAsia="仿宋_GB2312"/>
          <w:color w:val="030000"/>
          <w:sz w:val="32"/>
          <w:szCs w:val="24"/>
          <w:lang w:val="en-US" w:eastAsia="zh-CN"/>
        </w:rPr>
        <w:t>主题，</w:t>
      </w:r>
      <w:r>
        <w:rPr>
          <w:rFonts w:hint="eastAsia"/>
          <w:color w:val="030000"/>
          <w:sz w:val="32"/>
          <w:szCs w:val="24"/>
          <w:lang w:val="en-US" w:eastAsia="zh-CN"/>
        </w:rPr>
        <w:t>教学点打造了“六区六室”教学设施（</w:t>
      </w:r>
      <w:r>
        <w:rPr>
          <w:rFonts w:ascii="仿宋_GB2312" w:hAnsi="宋体" w:eastAsia="仿宋_GB2312" w:cs="仿宋_GB2312"/>
          <w:color w:val="030303"/>
          <w:kern w:val="0"/>
          <w:sz w:val="32"/>
          <w:szCs w:val="32"/>
          <w:lang w:val="en-US" w:eastAsia="zh-CN" w:bidi="ar"/>
        </w:rPr>
        <w:t>大</w:t>
      </w:r>
      <w:r>
        <w:rPr>
          <w:rFonts w:hint="eastAsia" w:ascii="仿宋_GB2312" w:hAnsi="宋体" w:eastAsia="仿宋_GB2312" w:cs="仿宋_GB2312"/>
          <w:color w:val="030303"/>
          <w:kern w:val="0"/>
          <w:sz w:val="32"/>
          <w:szCs w:val="32"/>
          <w:lang w:val="en-US" w:eastAsia="zh-CN" w:bidi="ar"/>
        </w:rPr>
        <w:t>厅形象区、支部园地区、现场教学区、历史沿革区、代表工作站区、党群文化区等“六区”；党员活动室、综合教室、职工之家、云岭先锋党建书屋、党史党建陈列室、智慧人大信息中心等“六室”</w:t>
      </w:r>
      <w:r>
        <w:rPr>
          <w:rFonts w:hint="eastAsia"/>
          <w:color w:val="030000"/>
          <w:sz w:val="32"/>
          <w:szCs w:val="24"/>
          <w:lang w:val="en-US" w:eastAsia="zh-CN"/>
        </w:rPr>
        <w:t>），其中，综合教室可容纳110人、智慧人大信息中心可容纳60人、党员活动室可容纳40人，</w:t>
      </w:r>
      <w:r>
        <w:rPr>
          <w:rFonts w:hint="eastAsia" w:ascii="仿宋_GB2312" w:hAnsi="仿宋_GB2312" w:eastAsia="仿宋_GB2312"/>
          <w:color w:val="030000"/>
          <w:sz w:val="32"/>
          <w:szCs w:val="24"/>
          <w:lang w:val="en-US" w:eastAsia="zh-CN"/>
        </w:rPr>
        <w:t>形成了</w:t>
      </w:r>
      <w:r>
        <w:rPr>
          <w:rFonts w:hint="eastAsia" w:ascii="仿宋_GB2312" w:hAnsi="仿宋_GB2312" w:eastAsia="仿宋_GB2312"/>
          <w:color w:val="030000"/>
          <w:sz w:val="32"/>
          <w:szCs w:val="24"/>
        </w:rPr>
        <w:t>4个专题</w:t>
      </w:r>
      <w:r>
        <w:rPr>
          <w:rFonts w:hint="eastAsia" w:ascii="仿宋_GB2312" w:hAnsi="仿宋_GB2312" w:eastAsia="仿宋_GB2312"/>
          <w:color w:val="030000"/>
          <w:sz w:val="32"/>
          <w:szCs w:val="24"/>
          <w:lang w:val="en-US" w:eastAsia="zh-CN"/>
        </w:rPr>
        <w:t>教学</w:t>
      </w:r>
      <w:r>
        <w:rPr>
          <w:rFonts w:ascii="仿宋_GB2312" w:hAnsi="宋体" w:eastAsia="仿宋_GB2312" w:cs="仿宋_GB2312"/>
          <w:color w:val="030303"/>
          <w:kern w:val="0"/>
          <w:sz w:val="32"/>
          <w:szCs w:val="32"/>
          <w:lang w:val="en-US" w:eastAsia="zh-CN" w:bidi="ar"/>
        </w:rPr>
        <w:t>、1个课堂教学、1个视频教学、6个精品案例、7个经典故事、</w:t>
      </w:r>
      <w:r>
        <w:rPr>
          <w:rFonts w:hint="eastAsia" w:ascii="仿宋_GB2312" w:hAnsi="宋体" w:eastAsia="仿宋_GB2312" w:cs="仿宋_GB2312"/>
          <w:color w:val="030303"/>
          <w:kern w:val="0"/>
          <w:sz w:val="32"/>
          <w:szCs w:val="32"/>
          <w:lang w:val="en-US" w:eastAsia="zh-CN" w:bidi="ar"/>
        </w:rPr>
        <w:t>1本教材、1个宣传微视频等教学资源</w:t>
      </w:r>
      <w:r>
        <w:rPr>
          <w:rFonts w:hint="eastAsia"/>
          <w:lang w:eastAsia="zh-CN"/>
        </w:rPr>
        <w:t>。</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640" w:firstLineChars="200"/>
        <w:jc w:val="left"/>
        <w:textAlignment w:val="auto"/>
        <w:rPr>
          <w:rFonts w:hint="eastAsia"/>
          <w:lang w:eastAsia="zh-CN"/>
        </w:rPr>
      </w:pPr>
      <w:r>
        <w:rPr>
          <w:rFonts w:hint="eastAsia" w:hAnsi="宋体" w:cs="仿宋_GB2312"/>
          <w:color w:val="030303"/>
          <w:kern w:val="0"/>
          <w:sz w:val="32"/>
          <w:szCs w:val="32"/>
          <w:lang w:val="en-US" w:eastAsia="zh-CN" w:bidi="ar"/>
        </w:rPr>
        <w:t>通过结合</w:t>
      </w:r>
      <w:r>
        <w:rPr>
          <w:rFonts w:ascii="仿宋_GB2312" w:hAnsi="宋体" w:eastAsia="仿宋_GB2312" w:cs="仿宋_GB2312"/>
          <w:color w:val="030303"/>
          <w:kern w:val="0"/>
          <w:sz w:val="32"/>
          <w:szCs w:val="32"/>
          <w:lang w:val="en-US" w:eastAsia="zh-CN" w:bidi="ar"/>
        </w:rPr>
        <w:t>昆明市人大常委会乃至昆明市级机关党建工作</w:t>
      </w:r>
      <w:r>
        <w:rPr>
          <w:rFonts w:hint="eastAsia" w:hAnsi="宋体" w:cs="仿宋_GB2312"/>
          <w:color w:val="030303"/>
          <w:kern w:val="0"/>
          <w:sz w:val="32"/>
          <w:szCs w:val="32"/>
          <w:lang w:val="en-US" w:eastAsia="zh-CN" w:bidi="ar"/>
        </w:rPr>
        <w:t>创新实践开展教学，深入阐释机关党建的</w:t>
      </w:r>
      <w:r>
        <w:rPr>
          <w:rFonts w:hint="eastAsia" w:ascii="仿宋_GB2312" w:hAnsi="宋体" w:eastAsia="仿宋_GB2312" w:cs="仿宋_GB2312"/>
          <w:color w:val="030303"/>
          <w:kern w:val="0"/>
          <w:sz w:val="32"/>
          <w:szCs w:val="32"/>
          <w:lang w:val="en-US" w:eastAsia="zh-CN" w:bidi="ar"/>
        </w:rPr>
        <w:t>经验与启示，</w:t>
      </w:r>
      <w:r>
        <w:rPr>
          <w:rFonts w:hint="eastAsia" w:hAnsi="宋体" w:cs="仿宋_GB2312"/>
          <w:color w:val="030303"/>
          <w:kern w:val="0"/>
          <w:sz w:val="32"/>
          <w:szCs w:val="32"/>
          <w:lang w:val="en-US" w:eastAsia="zh-CN" w:bidi="ar"/>
        </w:rPr>
        <w:t>全面提升学员</w:t>
      </w:r>
      <w:r>
        <w:rPr>
          <w:rFonts w:hint="eastAsia" w:ascii="仿宋_GB2312" w:hAnsi="宋体" w:eastAsia="仿宋_GB2312" w:cs="仿宋_GB2312"/>
          <w:color w:val="030303"/>
          <w:kern w:val="0"/>
          <w:sz w:val="32"/>
          <w:szCs w:val="32"/>
          <w:lang w:val="en-US" w:eastAsia="zh-CN" w:bidi="ar"/>
        </w:rPr>
        <w:t>破解机关党建难题经验的认识和理解，帮助学员提升机关党建党务工作能力</w:t>
      </w:r>
      <w:r>
        <w:rPr>
          <w:rFonts w:hint="eastAsia" w:hAnsi="宋体" w:cs="仿宋_GB2312"/>
          <w:color w:val="030303"/>
          <w:kern w:val="0"/>
          <w:sz w:val="32"/>
          <w:szCs w:val="32"/>
          <w:lang w:val="en-US" w:eastAsia="zh-CN" w:bidi="ar"/>
        </w:rPr>
        <w:t>。</w:t>
      </w:r>
    </w:p>
    <w:p>
      <w:pPr>
        <w:pStyle w:val="2"/>
        <w:bidi w:val="0"/>
        <w:rPr>
          <w:rFonts w:hint="eastAsia"/>
          <w:lang w:val="en-US" w:eastAsia="zh-CN"/>
        </w:rPr>
      </w:pPr>
      <w:bookmarkStart w:id="1" w:name="_Toc13830"/>
      <w:r>
        <w:rPr>
          <w:rFonts w:hint="eastAsia"/>
          <w:lang w:val="en-US" w:eastAsia="zh-CN"/>
        </w:rPr>
        <w:t>专题一：党建引领 人民至上</w:t>
      </w:r>
      <w:bookmarkEnd w:id="1"/>
    </w:p>
    <w:p>
      <w:pPr>
        <w:numPr>
          <w:ilvl w:val="0"/>
          <w:numId w:val="0"/>
        </w:numPr>
        <w:spacing w:before="0" w:line="648" w:lineRule="exact"/>
        <w:ind w:leftChars="0" w:right="0" w:rightChars="0"/>
        <w:jc w:val="center"/>
        <w:rPr>
          <w:rFonts w:hint="eastAsia" w:ascii="方正小标宋_GBK" w:hAnsi="方正小标宋_GBK" w:eastAsia="方正小标宋_GBK" w:cs="仿宋_GB2312"/>
          <w:color w:val="231F20"/>
          <w:sz w:val="44"/>
          <w:szCs w:val="22"/>
          <w:lang w:val="en-US" w:eastAsia="zh-CN" w:bidi="ar-SA"/>
        </w:rPr>
      </w:pPr>
    </w:p>
    <w:p>
      <w:pPr>
        <w:pStyle w:val="3"/>
        <w:spacing w:before="10"/>
        <w:ind w:left="0"/>
        <w:rPr>
          <w:rFonts w:ascii="黑体"/>
          <w:sz w:val="25"/>
        </w:rPr>
      </w:pPr>
    </w:p>
    <w:p>
      <w:pPr>
        <w:pStyle w:val="3"/>
        <w:spacing w:before="55" w:line="350" w:lineRule="auto"/>
        <w:ind w:right="268" w:firstLine="623"/>
        <w:jc w:val="both"/>
      </w:pPr>
      <w:r>
        <w:rPr>
          <w:color w:val="050100"/>
          <w:spacing w:val="-2"/>
        </w:rPr>
        <w:t>牢牢把握人大机关政治属性，坚持政治引领与人民民主相结合，围绕中心、服务大局、建设队伍、服务群众，为昆明当好全省经济社会发展排头兵作出积极贡献。</w:t>
      </w:r>
    </w:p>
    <w:p>
      <w:pPr>
        <w:pStyle w:val="3"/>
        <w:spacing w:before="5" w:line="350" w:lineRule="auto"/>
        <w:ind w:right="111" w:firstLine="623"/>
      </w:pPr>
      <w:r>
        <w:rPr>
          <w:rFonts w:hint="eastAsia" w:ascii="楷体_GB2312" w:hAnsi="楷体_GB2312" w:eastAsia="楷体_GB2312"/>
          <w:color w:val="050100"/>
          <w:spacing w:val="-2"/>
        </w:rPr>
        <w:t>突出政治性，锻造对党绝对忠诚的政治机关。</w:t>
      </w:r>
      <w:r>
        <w:rPr>
          <w:color w:val="050100"/>
          <w:spacing w:val="-2"/>
        </w:rPr>
        <w:t>始终旗帜鲜明讲政</w:t>
      </w:r>
      <w:r>
        <w:rPr>
          <w:color w:val="050100"/>
          <w:spacing w:val="-6"/>
        </w:rPr>
        <w:t>治，坚定不移推动党中央、省市委重大决策部署落实落地、见行见效。</w:t>
      </w:r>
      <w:r>
        <w:rPr>
          <w:color w:val="050100"/>
          <w:spacing w:val="-2"/>
        </w:rPr>
        <w:t>一是坚持政治统领。以习近平新时代中国特色社会主义思想为指导，</w:t>
      </w:r>
      <w:r>
        <w:rPr>
          <w:color w:val="050100"/>
          <w:spacing w:val="-18"/>
        </w:rPr>
        <w:t>以党的政治建设为统领，不断坚持和加强党的全面领导，深刻领悟“两</w:t>
      </w:r>
      <w:r>
        <w:rPr>
          <w:color w:val="050100"/>
          <w:spacing w:val="-2"/>
        </w:rPr>
        <w:t>个确立”的决定性意义，增强“四个意识”、坚定“四个自信”、坚决做到“两个维护”。把党的创新理论作为党组学习第一议题、党支部“三会一课”第一主题、人大代表和人大干部培训第一课程，筑牢人大机关工作思想政治根基，切实提高运用党的创新理论指导实践、推动工作的能力。二是夯实以人民为中心的政治根基。始终坚定站稳人民立场，始终忠诚于党、忠诚于人民，任何时候都与党同心同德，把人民放在心中最高位置，认真践行全心全意为人民服务根本宗旨，坚持人民主体地位，尊重人民首创精神，贯彻党的群众路线，始终保持党同人民群众的血肉联系。充分发挥人大工作职责，监督推动解决好群众最关心的就业、社保、教育、医疗、住房等民生问题。三是落实全面从严治党要求。始终把全面从严治党作为最根本的政治责任，严明党的政治纪律和政治规矩，切实把全面从严治党要求落实到抓好</w:t>
      </w:r>
      <w:r>
        <w:rPr>
          <w:color w:val="050100"/>
          <w:spacing w:val="-1"/>
        </w:rPr>
        <w:t>机关党务、服务人大政务、管理机关事务的全过程、各方面。</w:t>
      </w:r>
    </w:p>
    <w:p>
      <w:pPr>
        <w:pStyle w:val="3"/>
        <w:spacing w:before="190" w:line="350" w:lineRule="auto"/>
        <w:ind w:right="111" w:firstLine="623"/>
      </w:pPr>
      <w:r>
        <w:rPr>
          <w:rFonts w:hint="eastAsia" w:ascii="楷体_GB2312" w:hAnsi="楷体_GB2312" w:eastAsia="楷体_GB2312"/>
          <w:color w:val="050100"/>
          <w:spacing w:val="-2"/>
        </w:rPr>
        <w:t>突出民主性，建设人民至上的模范机关。</w:t>
      </w:r>
      <w:r>
        <w:rPr>
          <w:color w:val="050100"/>
          <w:spacing w:val="-2"/>
        </w:rPr>
        <w:t>坚持国家一切权力属于人民，在立法、监督、代表工作中做好民主选举、民主决策、民主管</w:t>
      </w:r>
      <w:r>
        <w:rPr>
          <w:color w:val="050100"/>
          <w:spacing w:val="-14"/>
        </w:rPr>
        <w:t>理等工作，发展全过程人民民主。一是党建引领激活全过程人民民主。</w:t>
      </w:r>
      <w:r>
        <w:rPr>
          <w:color w:val="050100"/>
          <w:spacing w:val="-2"/>
        </w:rPr>
        <w:t>加强党的领导，持续用党的创新理论凝心铸魂，着力加强机关党的建</w:t>
      </w:r>
      <w:r>
        <w:rPr>
          <w:color w:val="050100"/>
          <w:spacing w:val="-14"/>
        </w:rPr>
        <w:t>设，以人民代表大会制度的生动实践，奋力开创践行人民至上新篇章，</w:t>
      </w:r>
      <w:r>
        <w:rPr>
          <w:color w:val="050100"/>
          <w:spacing w:val="-2"/>
        </w:rPr>
        <w:t>努力在更大范围、更深层次、更高水平上践行全过程人民民主。二是建章立制保障全过程人民民主。不断完善人大会议制度、议事程序和工作机制，保证人民通过法定的途径、渠道、方式行使权力。健全人大组织制度和工作制度，优化机关高效运行机制。在全省率先制定惠民实事人大代表票决制实施办法，推动民生实事项目由“为民作主”向“由民作主”转变。建立健全基层立法联系点机制，落实落细发展全过程人民民主要求，健全吸纳民意、汇集民智的工作机制，让人民</w:t>
      </w:r>
      <w:r>
        <w:rPr>
          <w:color w:val="050100"/>
          <w:spacing w:val="-25"/>
        </w:rPr>
        <w:t>群众的知情权、参与权、表达权、监督权落实到人大工作各方面全过程。</w:t>
      </w:r>
      <w:r>
        <w:rPr>
          <w:color w:val="050100"/>
          <w:spacing w:val="-2"/>
        </w:rPr>
        <w:t>三是积极履职践行全过程人民民主。坚持问需于民、问计于民，扩大人民群众有效参与立法的渠道，采取召开基层代表座谈会、线上线下问卷调查等方式，充分听取人民群众意见建议。用好宪法赋予人大的监督权，确保行政权、监察权、审判权、检察权依法正确行使。围绕人民群众关注问题进行重点监督，推动解决经济社会发展突出问题。</w:t>
      </w:r>
    </w:p>
    <w:p>
      <w:pPr>
        <w:pStyle w:val="3"/>
        <w:spacing w:before="25" w:line="350" w:lineRule="auto"/>
        <w:ind w:right="267" w:firstLine="623"/>
        <w:jc w:val="both"/>
      </w:pPr>
      <w:r>
        <w:rPr>
          <w:rFonts w:hint="eastAsia" w:ascii="楷体_GB2312" w:hAnsi="楷体_GB2312" w:eastAsia="楷体_GB2312"/>
          <w:color w:val="050100"/>
          <w:spacing w:val="-2"/>
        </w:rPr>
        <w:t>突出人民性，构筑人民群众满意的民意机关。</w:t>
      </w:r>
      <w:r>
        <w:rPr>
          <w:color w:val="050100"/>
          <w:spacing w:val="-2"/>
        </w:rPr>
        <w:t>始终坚持人民主体地位和人民至上这一根本价值取向，在党建引领下，把“人民”二字贯穿人大依法履职全过程，充分保障人民当家作主。一是坚持以人民为中心。始终牢牢把握坚持党的领导、人民当家作主、依法治国有机</w:t>
      </w:r>
      <w:r>
        <w:rPr>
          <w:color w:val="050100"/>
          <w:spacing w:val="-1"/>
        </w:rPr>
        <w:t>统一，把准履职方向，增强履职效能，彰显履职作为。着眼提升人民</w:t>
      </w:r>
    </w:p>
    <w:p>
      <w:pPr>
        <w:spacing w:after="0" w:line="350" w:lineRule="auto"/>
        <w:jc w:val="both"/>
        <w:sectPr>
          <w:footerReference r:id="rId7" w:type="default"/>
          <w:pgSz w:w="11910" w:h="16840"/>
          <w:pgMar w:top="1040" w:right="860" w:bottom="660" w:left="860" w:header="0" w:footer="473" w:gutter="0"/>
          <w:pgNumType w:fmt="decimal" w:start="1"/>
          <w:cols w:space="720" w:num="1"/>
        </w:sectPr>
      </w:pPr>
    </w:p>
    <w:p>
      <w:pPr>
        <w:pStyle w:val="3"/>
        <w:spacing w:before="31" w:line="350" w:lineRule="auto"/>
        <w:ind w:right="111"/>
      </w:pPr>
      <w:r>
        <w:rPr>
          <w:color w:val="050100"/>
          <w:spacing w:val="-2"/>
        </w:rPr>
        <w:t>群众满意度，密切联系群众，把党的主张贯彻落实到群众中，始终与</w:t>
      </w:r>
      <w:r>
        <w:rPr>
          <w:color w:val="050100"/>
          <w:spacing w:val="-6"/>
        </w:rPr>
        <w:t>群众同呼吸、共命运、心连心，深入基层，与群众接触零距离面对面，</w:t>
      </w:r>
      <w:r>
        <w:rPr>
          <w:color w:val="050100"/>
          <w:spacing w:val="-2"/>
        </w:rPr>
        <w:t>感情上交流心贴心，虚心向群众学习请教，充分听取群众意见建议，做好与基层的协调联系和有效衔接工作，提高工作效率和服务水平，切实把人民利益至上落到实处。二是充分发挥人大代表作用。坚持代表主体地位，支持和保障代表依法履职，使代表更好行使人民赋予的权力。从健全机制、创新方法、明确定位等方面保障代表依法履职。搭建活动平台，丰富活动内容，强化服务保障，不断加强和改进代表工作，使代表知情知政更加全面，履职尽责更加主动，作用发挥更加充分。搭建载体深化拓展代表联系工作，强化服务提高代表履职保障水平，健全机制提升议案建议办理质量。组织开展代表活动，为代表履职提供实践平台，增强履职成效。创新开展三级人大代表联动开展活动、代表工作信息化建设和专业人大代表工作站建设。三是办好民生实事。坚守为人民谋幸福的初心，持续创新实现群众意愿的方法途径，不断改进办好民生实事的监督工作方法。心系群众安危冷暖维护合法权益，顺应群众美好期盼满足更高需求，持续开展惠民实事落实情况监督评议。扎实开展“我为群众办实事”实践活动，两级党组班子和机关党员分别制定“民生实事计划”清单，精准发力促进产业优化升级、群策群力支持乡村全面振兴，持之以恒助力经济健康发展，不断增强人民群众获得感、幸福感、安全感。</w:t>
      </w:r>
    </w:p>
    <w:p>
      <w:pPr>
        <w:spacing w:after="0" w:line="350" w:lineRule="auto"/>
        <w:sectPr>
          <w:pgSz w:w="11910" w:h="16840"/>
          <w:pgMar w:top="1040" w:right="860" w:bottom="660" w:left="860" w:header="0" w:footer="473" w:gutter="0"/>
          <w:pgNumType w:fmt="decimal"/>
          <w:cols w:space="720" w:num="1"/>
        </w:sectPr>
      </w:pPr>
    </w:p>
    <w:p>
      <w:pPr>
        <w:pStyle w:val="2"/>
        <w:bidi w:val="0"/>
        <w:rPr>
          <w:rFonts w:hint="eastAsia"/>
          <w:lang w:val="en-US" w:eastAsia="zh-CN"/>
        </w:rPr>
      </w:pPr>
      <w:bookmarkStart w:id="2" w:name="_Toc6617"/>
      <w:r>
        <w:rPr>
          <w:rFonts w:hint="eastAsia"/>
          <w:lang w:val="en-US" w:eastAsia="zh-CN"/>
        </w:rPr>
        <w:t>专题二：党建引领 效能建设</w:t>
      </w:r>
      <w:bookmarkEnd w:id="2"/>
    </w:p>
    <w:p>
      <w:pPr>
        <w:numPr>
          <w:ilvl w:val="0"/>
          <w:numId w:val="0"/>
        </w:numPr>
        <w:ind w:right="0" w:rightChars="0"/>
        <w:rPr>
          <w:rFonts w:hint="eastAsia"/>
          <w:lang w:val="en-US" w:eastAsia="zh-CN"/>
        </w:rPr>
      </w:pPr>
    </w:p>
    <w:p>
      <w:pPr>
        <w:pStyle w:val="3"/>
        <w:spacing w:before="11"/>
        <w:ind w:left="0"/>
        <w:rPr>
          <w:rFonts w:ascii="黑体"/>
          <w:sz w:val="25"/>
        </w:rPr>
      </w:pPr>
    </w:p>
    <w:p>
      <w:pPr>
        <w:pStyle w:val="3"/>
        <w:spacing w:before="55" w:line="350" w:lineRule="auto"/>
        <w:ind w:right="270" w:firstLine="623"/>
      </w:pPr>
      <w:r>
        <w:rPr>
          <w:color w:val="050100"/>
          <w:spacing w:val="-2"/>
        </w:rPr>
        <w:t>发挥党建引领作用，将大兴调查研究之风、作风革命、效能革命落实到位，全面推进机关效能建设，有力促进各项工作提质增效。</w:t>
      </w:r>
    </w:p>
    <w:p>
      <w:pPr>
        <w:pStyle w:val="3"/>
        <w:spacing w:before="3" w:line="350" w:lineRule="auto"/>
        <w:ind w:right="111" w:firstLine="623"/>
      </w:pPr>
      <w:r>
        <w:rPr>
          <w:rFonts w:hint="eastAsia" w:ascii="楷体_GB2312" w:hAnsi="楷体_GB2312" w:eastAsia="楷体_GB2312"/>
          <w:color w:val="050100"/>
          <w:spacing w:val="-22"/>
        </w:rPr>
        <w:t>坚持对标校能。</w:t>
      </w:r>
      <w:r>
        <w:rPr>
          <w:color w:val="050100"/>
          <w:spacing w:val="-20"/>
        </w:rPr>
        <w:t>进一步树牢看齐意识，坚持向上对标、向先进对标，</w:t>
      </w:r>
      <w:r>
        <w:rPr>
          <w:color w:val="050100"/>
          <w:spacing w:val="-2"/>
        </w:rPr>
        <w:t>不断校正思路、提升效能。一是政治对标。以习近平新时代中国特色社会主义思想为指导，坚持正确政治方向，不断提高政治判断力、政治领悟力、政治执行力。把学习习近平新时代中国特色社会主义思想作为首要政治任务，深入贯彻落实习近平总书记在中央人大工作会议</w:t>
      </w:r>
      <w:r>
        <w:rPr>
          <w:color w:val="050100"/>
          <w:spacing w:val="-11"/>
        </w:rPr>
        <w:t>和考察云南重要讲话精神，按照习近平总书记提出的人大“四个机关”</w:t>
      </w:r>
      <w:r>
        <w:rPr>
          <w:color w:val="050100"/>
          <w:spacing w:val="-2"/>
        </w:rPr>
        <w:t>的定位和要求，全面加强机关建设，切实做到“总书记有号令、党中央有部署、人大见行动”，把人民代表大会制度坚持好、完善好、发展好。二是业务对标。对标“以良法促进发展、保障善治”和“科学立法、民主立法、依法立法”要求，加强和改进立法工作，确保每一项立法都符合宪法精神、反映人民意愿、得到人民拥护。对标“正确监督、有效监督、依法监督”要求，更好发挥人大监督在党和国家监督体系中的重要作用，坚持围绕中心、服务大局、突出重点，推动解</w:t>
      </w:r>
      <w:r>
        <w:rPr>
          <w:color w:val="050100"/>
          <w:spacing w:val="-23"/>
        </w:rPr>
        <w:t>决经济社会发展的突出矛盾和问题。对标“民有所呼、我有所应”要求，</w:t>
      </w:r>
      <w:r>
        <w:rPr>
          <w:color w:val="050100"/>
          <w:spacing w:val="-2"/>
        </w:rPr>
        <w:t>始终坚持人民主体地位，努力在更大范围、更深层次、更高水平上践行全过程人民民主，充分保障人民当家作主。三是作风对标。践行项目工作法、一线工作法、典型引路法，大力发扬“马上就办、真抓实干”精神，破除“中层梗阻”，坚持任务项目化、项目清单化、清单具体化，明确“谁来做、怎么做、何时做、按什么标准做、什么时候完成、达到什么效果”等问题。科学制定并严格执行年度发文、会议</w:t>
      </w:r>
      <w:r>
        <w:rPr>
          <w:color w:val="050100"/>
          <w:spacing w:val="-6"/>
        </w:rPr>
        <w:t>计划，持续开展为基层减负工作。按照“当好排头兵”要求，争当“实</w:t>
      </w:r>
    </w:p>
    <w:p>
      <w:pPr>
        <w:spacing w:after="0" w:line="350" w:lineRule="auto"/>
        <w:sectPr>
          <w:pgSz w:w="11910" w:h="16840"/>
          <w:pgMar w:top="1040" w:right="860" w:bottom="660" w:left="860" w:header="0" w:footer="473" w:gutter="0"/>
          <w:pgNumType w:fmt="decimal"/>
          <w:cols w:space="720" w:num="1"/>
        </w:sectPr>
      </w:pPr>
    </w:p>
    <w:p>
      <w:pPr>
        <w:pStyle w:val="3"/>
        <w:spacing w:before="31" w:line="350" w:lineRule="auto"/>
        <w:ind w:right="269"/>
      </w:pPr>
      <w:r>
        <w:rPr>
          <w:color w:val="050100"/>
          <w:spacing w:val="-2"/>
        </w:rPr>
        <w:t>干家”、整治“太平官”，加强干部队伍建设，努力打造一支政治坚定、服务人民、尊崇法治、发扬民主、勤勉尽责的人大工作队伍。</w:t>
      </w:r>
    </w:p>
    <w:p>
      <w:pPr>
        <w:pStyle w:val="3"/>
        <w:spacing w:before="3" w:line="350" w:lineRule="auto"/>
        <w:ind w:right="111" w:firstLine="623"/>
      </w:pPr>
      <w:r>
        <w:rPr>
          <w:rFonts w:hint="eastAsia" w:ascii="楷体_GB2312" w:hAnsi="楷体_GB2312" w:eastAsia="楷体_GB2312"/>
          <w:color w:val="050100"/>
          <w:spacing w:val="-2"/>
        </w:rPr>
        <w:t>坚持凝心聚能。</w:t>
      </w:r>
      <w:r>
        <w:rPr>
          <w:color w:val="050100"/>
          <w:spacing w:val="-2"/>
        </w:rPr>
        <w:t>提升思想认识，整合力量，找准载体，以争先精神切实提升效能。一是思想引领。坚决落实省委、市委要求，牢固树立“今天再晚也是早、明天再早也是晚”的效率意识。认真组织作风革命、效能革命的学习讨论，不断提升机关党员干部实干意识和效率意识，激发机关党员服务大局、为民服务能力提升。二是主题实践。</w:t>
      </w:r>
      <w:r>
        <w:rPr>
          <w:color w:val="050100"/>
        </w:rPr>
        <w:t>开展“对标先进 争创一流”主题实践活动，落实市委“当好排头兵”</w:t>
      </w:r>
      <w:r>
        <w:rPr>
          <w:color w:val="050100"/>
          <w:spacing w:val="-24"/>
        </w:rPr>
        <w:t>大讨论大竞赛要求，将强思想、改作风、提效能措施落实到机关党建中。</w:t>
      </w:r>
      <w:r>
        <w:rPr>
          <w:color w:val="050100"/>
          <w:spacing w:val="-2"/>
        </w:rPr>
        <w:t>开展“思想破冰”“理念迭代”“改进方法”“作风转变”“对标争创”“效能竞赛”六个专项活动，在机关形成对标追赶、比学赶超良</w:t>
      </w:r>
      <w:r>
        <w:rPr>
          <w:color w:val="050100"/>
          <w:spacing w:val="-4"/>
        </w:rPr>
        <w:t xml:space="preserve">好氛围。以 </w:t>
      </w:r>
      <w:r>
        <w:rPr>
          <w:color w:val="050100"/>
        </w:rPr>
        <w:t>3</w:t>
      </w:r>
      <w:r>
        <w:rPr>
          <w:color w:val="050100"/>
          <w:spacing w:val="-3"/>
        </w:rPr>
        <w:t xml:space="preserve"> 年为周期进行中长期规划，制定出台“对标先进 争创</w:t>
      </w:r>
      <w:r>
        <w:rPr>
          <w:color w:val="050100"/>
          <w:spacing w:val="-2"/>
        </w:rPr>
        <w:t>一流”主题实践活动措施，明确政治上对标省人大常委会机关和市委办公室，党建上对标省人大常委会机关，业务上对标福州市人大、南京市人大和成都市人大，加快推动党建工作提质增效，推动党建业务互促共进。三是创先争优。坚持将全面从严治党要求转化为创先争优的能量，深入开展“模范机关”创建，机关连续五届蝉联省级文明单位，荣获全省脱贫攻坚扶贫先进集体、全省民族团结进步模范集体等称号。积极开展“两优一先”评选和“五星级党支部”“四星级党支部”“春城先锋”示范党支部创建工作。</w:t>
      </w:r>
    </w:p>
    <w:p>
      <w:pPr>
        <w:pStyle w:val="3"/>
        <w:spacing w:before="25" w:line="350" w:lineRule="auto"/>
        <w:ind w:right="111" w:firstLine="623"/>
      </w:pPr>
      <w:r>
        <w:rPr>
          <w:rFonts w:hint="eastAsia" w:ascii="楷体_GB2312" w:hAnsi="楷体_GB2312" w:eastAsia="楷体_GB2312"/>
          <w:color w:val="050100"/>
          <w:spacing w:val="-2"/>
        </w:rPr>
        <w:t>坚持实干赋能。</w:t>
      </w:r>
      <w:r>
        <w:rPr>
          <w:color w:val="050100"/>
          <w:spacing w:val="-2"/>
        </w:rPr>
        <w:t>坚持党建引领，践行“三个工作法”，以担当实干的精神为机关工作赋能。一是践行项目工作法担实责任。将明晰责</w:t>
      </w:r>
      <w:r>
        <w:rPr>
          <w:color w:val="050100"/>
          <w:spacing w:val="-11"/>
        </w:rPr>
        <w:t>任放在工作落实的首位，细化分解党建责任，推动党建压力传导到位，</w:t>
      </w:r>
      <w:r>
        <w:rPr>
          <w:color w:val="050100"/>
          <w:spacing w:val="-2"/>
        </w:rPr>
        <w:t>以责任制的落实推动机关效能建设。坚持月工作例会制度，实行清单</w:t>
      </w:r>
    </w:p>
    <w:p>
      <w:pPr>
        <w:spacing w:after="0" w:line="350" w:lineRule="auto"/>
        <w:sectPr>
          <w:pgSz w:w="11910" w:h="16840"/>
          <w:pgMar w:top="1040" w:right="860" w:bottom="660" w:left="860" w:header="0" w:footer="473" w:gutter="0"/>
          <w:pgNumType w:fmt="decimal"/>
          <w:cols w:space="720" w:num="1"/>
        </w:sectPr>
      </w:pPr>
    </w:p>
    <w:p>
      <w:pPr>
        <w:pStyle w:val="3"/>
        <w:spacing w:before="31" w:line="350" w:lineRule="auto"/>
        <w:ind w:right="111"/>
      </w:pPr>
      <w:r>
        <w:rPr>
          <w:color w:val="050100"/>
          <w:spacing w:val="-6"/>
        </w:rPr>
        <w:t>制管理，制定重点工作清单、基层党建任务清单、支部书记责任清单，</w:t>
      </w:r>
      <w:r>
        <w:rPr>
          <w:color w:val="050100"/>
          <w:spacing w:val="-2"/>
        </w:rPr>
        <w:t>以精细化、体系化、项目化管理推进各项工作。二是践行一线工作法真抓实干。坚持民主法治建设的“一线意识”，创造性发挥立法、监督、代表等职能职责，推动人大工作干在一线、取得成效。坚持立法在基层，认真抓好基层立法联系点工作，持续推动立良法、促善治。坚持监督在一线，加大对生态文明建设、重大项目推进、营商环境优化、保障和改善民生、安全生产和乡村振兴等工作监督力度，不断增强监督实效，依法保障人民群众共建共享改革发展成果。按照市委工作安排，由市人大常委会主要领导挂帅生物医药产业链链长，推动全市生物医药及“大健康”产业链发展。机关党员积极开展“我为群众办实事”活动，帮助身边群众办实事、解民忧。充分发挥代表在前线作用，搭建代表活动阵地，创新活动主题，强化服务保障，汇聚民智与力量。三是践行典型引路法创先争优。按照“增加先进支部、提升中间支部、整顿后进支部”要求，推动后进赶先进、中间争先进、先进更前进。邀请省市先进人物和身边典型讲述先进事迹，围绕脱贫攻坚、疫情防控、为民服务和好学上进等，选树一批身边典型，培育机关党员干部担当作为、干事创业的精神风貌。鼓励工作创新，每年对获得省部级以上领导肯定性批示的工作进行通报表彰，对“当好排头兵”大讨论大竞赛中的先进单位和个人进行通报表扬，形成了机关党建、代表活动阵地建设、预算联网监督、立法研究中心建设等一系列典型案例，机关作风革命、效能革命工作取得实效。</w:t>
      </w:r>
    </w:p>
    <w:p>
      <w:pPr>
        <w:spacing w:after="0" w:line="350" w:lineRule="auto"/>
        <w:sectPr>
          <w:pgSz w:w="11910" w:h="16840"/>
          <w:pgMar w:top="1040" w:right="860" w:bottom="660" w:left="860" w:header="0" w:footer="473" w:gutter="0"/>
          <w:pgNumType w:fmt="decimal"/>
          <w:cols w:space="720" w:num="1"/>
        </w:sectPr>
      </w:pPr>
    </w:p>
    <w:p>
      <w:pPr>
        <w:pStyle w:val="2"/>
        <w:bidi w:val="0"/>
        <w:rPr>
          <w:rFonts w:hint="eastAsia" w:ascii="方正小标宋_GBK" w:hAnsi="方正小标宋_GBK" w:eastAsia="方正小标宋_GBK" w:cs="仿宋_GB2312"/>
          <w:color w:val="231F20"/>
          <w:szCs w:val="22"/>
          <w:lang w:val="en-US" w:eastAsia="zh-CN" w:bidi="ar-SA"/>
        </w:rPr>
      </w:pPr>
      <w:bookmarkStart w:id="3" w:name="_Toc27830"/>
      <w:r>
        <w:rPr>
          <w:rFonts w:hint="eastAsia"/>
          <w:lang w:val="en-US" w:eastAsia="zh-CN"/>
        </w:rPr>
        <w:t>专题三：党建引领 守正创新</w:t>
      </w:r>
      <w:bookmarkEnd w:id="3"/>
    </w:p>
    <w:p>
      <w:pPr>
        <w:numPr>
          <w:ilvl w:val="0"/>
          <w:numId w:val="0"/>
        </w:numPr>
        <w:ind w:right="0" w:rightChars="0"/>
        <w:rPr>
          <w:rFonts w:hint="eastAsia"/>
          <w:lang w:val="en-US" w:eastAsia="zh-CN"/>
        </w:rPr>
      </w:pPr>
    </w:p>
    <w:p>
      <w:pPr>
        <w:pStyle w:val="3"/>
        <w:spacing w:before="11"/>
        <w:ind w:left="0"/>
        <w:rPr>
          <w:rFonts w:ascii="黑体"/>
          <w:sz w:val="25"/>
        </w:rPr>
      </w:pPr>
    </w:p>
    <w:p>
      <w:pPr>
        <w:pStyle w:val="3"/>
        <w:spacing w:before="55" w:line="350" w:lineRule="auto"/>
        <w:ind w:right="267" w:firstLine="623"/>
      </w:pPr>
      <w:r>
        <w:rPr>
          <w:color w:val="050100"/>
          <w:spacing w:val="-2"/>
        </w:rPr>
        <w:t>落实新时代党的建设总要求，把创新作为党建工作的驱动力，坚持规范有序与探索实践相结合，在规范中创新，在创新中提升。</w:t>
      </w:r>
    </w:p>
    <w:p>
      <w:pPr>
        <w:pStyle w:val="3"/>
        <w:spacing w:before="3" w:line="350" w:lineRule="auto"/>
        <w:ind w:right="111" w:firstLine="623"/>
      </w:pPr>
      <w:r>
        <w:rPr>
          <w:rFonts w:hint="eastAsia" w:ascii="楷体_GB2312" w:hAnsi="楷体_GB2312" w:eastAsia="楷体_GB2312"/>
          <w:color w:val="050100"/>
          <w:spacing w:val="-2"/>
        </w:rPr>
        <w:t>坚持理念创新。</w:t>
      </w:r>
      <w:r>
        <w:rPr>
          <w:color w:val="050100"/>
          <w:spacing w:val="-2"/>
        </w:rPr>
        <w:t>聚焦“灯下黑”“两张皮”等机关党建老大难问题，在理念上守正创新。一是以正为基。深刻把握新时代人大机关党建工作规律特点，毫不动摇坚持党的全面领导这个“风向标”，拧紧理想信念这个“总开关”，牵住党建责任制这个“牛鼻子”，抓住提</w:t>
      </w:r>
      <w:r>
        <w:rPr>
          <w:color w:val="050100"/>
          <w:spacing w:val="-6"/>
        </w:rPr>
        <w:t>升组织力这个“关键点”，做好党建与业务深度融合这篇“大文章”，用好党员群众满意这个“度量衡”，处理好共性和个性、党建和业务、</w:t>
      </w:r>
      <w:r>
        <w:rPr>
          <w:color w:val="050100"/>
          <w:spacing w:val="-2"/>
        </w:rPr>
        <w:t>目标引领和问题导向、建章立制和落地见效、继承和创新的关系，强化党组制度建设和党支部规范化建设，不断巩固提升机关党建工作水</w:t>
      </w:r>
      <w:r>
        <w:rPr>
          <w:color w:val="050100"/>
          <w:spacing w:val="-6"/>
        </w:rPr>
        <w:t>平。二是以人为本。树牢“做党建工作归根到底是做人的工作”理念，</w:t>
      </w:r>
      <w:r>
        <w:rPr>
          <w:color w:val="050100"/>
          <w:spacing w:val="-2"/>
        </w:rPr>
        <w:t>把工作落脚点、关键点放在人上，关注人的客观需求，尊重人的成长规律，发挥人的主观能动性，激发人的隐藏潜能，做好具体事、细微</w:t>
      </w:r>
      <w:r>
        <w:rPr>
          <w:color w:val="050100"/>
          <w:spacing w:val="-6"/>
        </w:rPr>
        <w:t>事、实在事，让党的影响力和号召力越来越大，让党组织的“朋友圈”</w:t>
      </w:r>
      <w:r>
        <w:rPr>
          <w:color w:val="050100"/>
          <w:spacing w:val="-2"/>
        </w:rPr>
        <w:t>越来越广。三是以责为要。坚持干得实在、干得有力、干得有效，把担当作为一种信念，全面落实党建责任，形成组织明责、书记扛责、党员履责的链式责任体系。创新奖惩责任约束机制，建立健全自上而下、层层细化、定性与定量相结合的党员考核评价指标体系。</w:t>
      </w:r>
    </w:p>
    <w:p>
      <w:pPr>
        <w:pStyle w:val="3"/>
        <w:spacing w:before="22" w:line="350" w:lineRule="auto"/>
        <w:ind w:right="265" w:firstLine="623"/>
        <w:jc w:val="both"/>
      </w:pPr>
      <w:r>
        <w:rPr>
          <w:rFonts w:hint="eastAsia" w:ascii="楷体_GB2312" w:hAnsi="楷体_GB2312" w:eastAsia="楷体_GB2312"/>
          <w:color w:val="050100"/>
          <w:spacing w:val="-2"/>
        </w:rPr>
        <w:t>坚持载体创新。</w:t>
      </w:r>
      <w:r>
        <w:rPr>
          <w:color w:val="050100"/>
          <w:spacing w:val="-2"/>
        </w:rPr>
        <w:t>结合工作职能，搭建有效载体，形成党建工作有力抓手。一是搭构党建品牌。机关创建“倾听民声、反映民意、汇聚</w:t>
      </w:r>
      <w:r>
        <w:rPr>
          <w:color w:val="050100"/>
        </w:rPr>
        <w:t>民智、服务民生”具有人大特质的党建品牌，8 个在职党支部结合业务创建支部品牌，形成“1 架马车、8 个轮子”党建品牌体系，实现</w:t>
      </w:r>
      <w:r>
        <w:rPr>
          <w:color w:val="050100"/>
          <w:spacing w:val="-1"/>
        </w:rPr>
        <w:t>了“一机关一品牌、一支部一特色”。深入践行党建品牌，强化品牌</w:t>
      </w:r>
    </w:p>
    <w:p>
      <w:pPr>
        <w:spacing w:after="0" w:line="350" w:lineRule="auto"/>
        <w:jc w:val="both"/>
        <w:sectPr>
          <w:pgSz w:w="11910" w:h="16840"/>
          <w:pgMar w:top="1040" w:right="860" w:bottom="660" w:left="860" w:header="0" w:footer="473" w:gutter="0"/>
          <w:pgNumType w:fmt="decimal"/>
          <w:cols w:space="720" w:num="1"/>
        </w:sectPr>
      </w:pPr>
    </w:p>
    <w:p>
      <w:pPr>
        <w:pStyle w:val="3"/>
        <w:spacing w:before="31" w:line="350" w:lineRule="auto"/>
        <w:ind w:left="113" w:right="111"/>
        <w:jc w:val="center"/>
      </w:pPr>
      <w:r>
        <w:rPr>
          <w:color w:val="050100"/>
          <w:spacing w:val="-28"/>
        </w:rPr>
        <w:t>功能，助推业务工作，形成品牌效应。机关党建品牌在“当好排头兵</w:t>
      </w:r>
      <w:r>
        <w:rPr>
          <w:color w:val="050100"/>
          <w:spacing w:val="-61"/>
        </w:rPr>
        <w:t>·</w:t>
      </w:r>
      <w:r>
        <w:rPr>
          <w:color w:val="050100"/>
          <w:spacing w:val="-2"/>
        </w:rPr>
        <w:t xml:space="preserve">献 礼二十大”市直机关党建工作擂台比武（展示）中获得第一名。二是 加强阵地建设。加强思想阵地建设，深入贯彻落实习近平总书记“必 须坚持把思想建设作为党的基础性建设”要求，打造人大机关党建思 想堡垒。严格落实意识形态责任制，充分利用人大宣传阵地，广泛开 </w:t>
      </w:r>
      <w:r>
        <w:rPr>
          <w:color w:val="050100"/>
          <w:spacing w:val="-14"/>
        </w:rPr>
        <w:t>展宣传，近年来，市人大政务微博影响力在全国人大系统中位列第一。</w:t>
      </w:r>
      <w:r>
        <w:rPr>
          <w:color w:val="050100"/>
          <w:spacing w:val="-2"/>
        </w:rPr>
        <w:t xml:space="preserve">加强活动阵地建设，建立的“六区六室”党建文化长廊，被命名为市 级行政中心党建示范带，使党建创新亮点看得见、摸得着，起到示范 带动作用。建立扩充实践阵地，打破地域、时空的界限和党组织间的 </w:t>
      </w:r>
      <w:r>
        <w:rPr>
          <w:color w:val="050100"/>
          <w:spacing w:val="-31"/>
        </w:rPr>
        <w:t>壁垒，促进党建各种要素间的流动，探索开放式党建机制，深入推进“双</w:t>
      </w:r>
      <w:r>
        <w:rPr>
          <w:color w:val="050100"/>
          <w:spacing w:val="-2"/>
        </w:rPr>
        <w:t xml:space="preserve"> 报到双服务双报告”、党建促乡村振兴等工作，与基层党组织一道将 联系点打造成为民实践阵地。结合代表活动阵地、专业代表工作站、 基层立法联系点建设，打造党建促业务一线实践阵地。三是创新活动 方式。围绕“强党性”开展活动，严格组织制度，增强组织活力，积 </w:t>
      </w:r>
      <w:r>
        <w:rPr>
          <w:color w:val="050100"/>
          <w:spacing w:val="-26"/>
        </w:rPr>
        <w:t>极探索开放式主题党日、红色教育、支部联建共建等。实施开展微党课、</w:t>
      </w:r>
      <w:r>
        <w:rPr>
          <w:color w:val="050100"/>
          <w:spacing w:val="-2"/>
        </w:rPr>
        <w:t xml:space="preserve">举办微讲座、完成微心愿、提倡微奉献“四微”行动，强化思想教育，提高党性修养。围绕“注能量”开展活动，结合作风革命、效能革命、 </w:t>
      </w:r>
      <w:r>
        <w:rPr>
          <w:color w:val="050100"/>
          <w:spacing w:val="-9"/>
        </w:rPr>
        <w:t>“当好排头兵”大讨论大竞赛、“对标先进 争创一流”主题实践活动，</w:t>
      </w:r>
      <w:r>
        <w:rPr>
          <w:color w:val="050100"/>
          <w:spacing w:val="-2"/>
        </w:rPr>
        <w:t>开展红星评选、业务比武、技能竞赛等。围绕“办实事”开展活动， 组织开展滇池保护、植树造林、文明创建、学雷锋、无偿献血、爱心 助学等志愿活动，开展“我为群众办实事·昆明人大代表在行动”等 系列活动，在基层一线践行以人民为中心的理念。围绕“促工作”开 展活动，以党建工作实效，有力推动业务工作落实落地，预算联网监 督、基层代表活动阵地建设、昆明地方立法研究中心建设等重点业务</w:t>
      </w:r>
    </w:p>
    <w:p>
      <w:pPr>
        <w:spacing w:after="0" w:line="350" w:lineRule="auto"/>
        <w:jc w:val="center"/>
        <w:sectPr>
          <w:pgSz w:w="11910" w:h="16840"/>
          <w:pgMar w:top="1040" w:right="860" w:bottom="660" w:left="860" w:header="0" w:footer="473" w:gutter="0"/>
          <w:pgNumType w:fmt="decimal"/>
          <w:cols w:space="720" w:num="1"/>
        </w:sectPr>
      </w:pPr>
    </w:p>
    <w:p>
      <w:pPr>
        <w:pStyle w:val="3"/>
        <w:spacing w:before="31"/>
      </w:pPr>
      <w:r>
        <w:rPr>
          <w:color w:val="050100"/>
          <w:spacing w:val="-1"/>
        </w:rPr>
        <w:t>工作多次得到省级领导肯定性批示。</w:t>
      </w:r>
    </w:p>
    <w:p>
      <w:pPr>
        <w:pStyle w:val="3"/>
        <w:spacing w:before="190" w:line="350" w:lineRule="auto"/>
        <w:ind w:right="268" w:firstLine="623"/>
        <w:jc w:val="both"/>
      </w:pPr>
      <w:r>
        <w:rPr>
          <w:rFonts w:hint="eastAsia" w:ascii="楷体_GB2312" w:hAnsi="楷体_GB2312" w:eastAsia="楷体_GB2312"/>
          <w:color w:val="050100"/>
          <w:spacing w:val="-2"/>
        </w:rPr>
        <w:t>坚持方法创新。</w:t>
      </w:r>
      <w:r>
        <w:rPr>
          <w:color w:val="050100"/>
          <w:spacing w:val="-2"/>
        </w:rPr>
        <w:t>注重灵活多样、务求实效，不断总结提升，完善工作机制。一是健全带动机制。坚持以大格局开展党建工作，注重辐射传导，构建起“党组织负责人向组织成员、上级党组织向下级党组织、组织向党员、人大机关向人大代表、党组织向群团组织、党员向家庭成员”等带动机制，推动形成“晶体溶解”“信息扩散”“文化浸润”式的党建辐射网。二是健全推动机制。抓牢“责任”关键，四级党组织传导压实工作，形成“高位统筹、示范引领、环环相扣、形成合力”的责任工作法。突出“融合”思想，推动各级党组织之间上下交融，形成“润物无声、全面交融、文化助推、特色推进”的推动工作法。坚持“全面”理念，以系统思维出发谋篇布局，从细节事项入手真抓实干，形成“明晰框架、注重实招、大处着眼、小处入手”的系统工作法。树牢“全面”理念，严格精准到位，体现全面从严要求，构建“全员参与、全程控制、全面覆盖、全部关联”的考核工作法。三是健全联动机制。推动党建与业务在理念、机制、组织、载体上双融合、双提高。推动机关与外部的横向联动，扩大人大机关党建在面上的联动辐射。强化从机关到基层纵向联动，在人大工作覆盖范围内，构建工作带动体系，推动各级党组织互相促进、共同发展。</w:t>
      </w:r>
    </w:p>
    <w:p>
      <w:pPr>
        <w:spacing w:after="0" w:line="350" w:lineRule="auto"/>
        <w:jc w:val="both"/>
        <w:sectPr>
          <w:pgSz w:w="11910" w:h="16840"/>
          <w:pgMar w:top="1040" w:right="860" w:bottom="660" w:left="860" w:header="0" w:footer="473" w:gutter="0"/>
          <w:pgNumType w:fmt="decimal"/>
          <w:cols w:space="720" w:num="1"/>
        </w:sectPr>
      </w:pPr>
    </w:p>
    <w:p>
      <w:pPr>
        <w:pStyle w:val="2"/>
        <w:bidi w:val="0"/>
        <w:rPr>
          <w:rFonts w:hint="eastAsia"/>
          <w:lang w:val="en-US" w:eastAsia="zh-CN"/>
        </w:rPr>
      </w:pPr>
      <w:bookmarkStart w:id="4" w:name="_Toc10063"/>
      <w:bookmarkStart w:id="5" w:name="_GoBack"/>
      <w:r>
        <w:rPr>
          <w:rFonts w:hint="eastAsia"/>
          <w:lang w:val="en-US" w:eastAsia="zh-CN"/>
        </w:rPr>
        <w:t>专题四：党建引领 依法履职</w:t>
      </w:r>
      <w:bookmarkEnd w:id="4"/>
    </w:p>
    <w:p>
      <w:pPr>
        <w:pStyle w:val="2"/>
        <w:numPr>
          <w:ilvl w:val="0"/>
          <w:numId w:val="0"/>
        </w:numPr>
        <w:ind w:left="0" w:leftChars="0" w:right="0" w:rightChars="0"/>
        <w:outlineLvl w:val="9"/>
        <w:rPr>
          <w:rFonts w:hint="eastAsia" w:ascii="方正小标宋_GBK" w:hAnsi="方正小标宋_GBK" w:eastAsia="方正小标宋_GBK" w:cs="仿宋_GB2312"/>
          <w:color w:val="231F20"/>
          <w:sz w:val="44"/>
          <w:szCs w:val="22"/>
          <w:lang w:val="en-US" w:eastAsia="zh-CN" w:bidi="ar-SA"/>
        </w:rPr>
      </w:pPr>
    </w:p>
    <w:p>
      <w:pPr>
        <w:pStyle w:val="3"/>
        <w:spacing w:before="55" w:line="350" w:lineRule="auto"/>
        <w:ind w:right="254" w:firstLine="623"/>
        <w:jc w:val="both"/>
      </w:pPr>
      <w:r>
        <w:rPr>
          <w:color w:val="050100"/>
          <w:spacing w:val="9"/>
        </w:rPr>
        <w:t>坚持党的领导、人民当家作主、依法治国有机统一，围绕全省</w:t>
      </w:r>
      <w:r>
        <w:rPr>
          <w:color w:val="050100"/>
          <w:spacing w:val="14"/>
        </w:rPr>
        <w:t xml:space="preserve"> </w:t>
      </w:r>
      <w:r>
        <w:rPr>
          <w:color w:val="050100"/>
          <w:spacing w:val="-2"/>
        </w:rPr>
        <w:t>“3815”战略发展目标，聚焦“六个春城”建设任务，忠实履行宪法法律赋予人大及其常委会的职责，把机关党建与依法履职有机融合，党建工作成效充分体现到履行好人大法定职责上。</w:t>
      </w:r>
    </w:p>
    <w:p>
      <w:pPr>
        <w:pStyle w:val="3"/>
        <w:spacing w:before="6" w:line="350" w:lineRule="auto"/>
        <w:ind w:right="111" w:firstLine="623"/>
      </w:pPr>
      <w:r>
        <w:rPr>
          <w:rFonts w:hint="eastAsia" w:ascii="楷体_GB2312" w:eastAsia="楷体_GB2312"/>
          <w:color w:val="050100"/>
          <w:spacing w:val="-2"/>
        </w:rPr>
        <w:t>坚持质量和效率并重加强地方立法。</w:t>
      </w:r>
      <w:r>
        <w:rPr>
          <w:color w:val="050100"/>
          <w:spacing w:val="-2"/>
        </w:rPr>
        <w:t>坚持科学立法、民主立法、依法立法，积极推进地方立法实践，以良法促进发展、保障善治。一是坚持党的领导。以习近平新时代中国特色社会主义思想作为地方立</w:t>
      </w:r>
      <w:r>
        <w:rPr>
          <w:color w:val="050100"/>
          <w:spacing w:val="-13"/>
        </w:rPr>
        <w:t>法工作的根本遵循，不断增强坚持党领导立法的思想自觉和行动自觉，</w:t>
      </w:r>
      <w:r>
        <w:rPr>
          <w:color w:val="050100"/>
          <w:spacing w:val="-2"/>
        </w:rPr>
        <w:t>始终紧扣中央重大决策部署和省市委中心工作安排立法项目，把改革发展决策同立法决策结合起来，做到党委有要求、人大有行动，使党</w:t>
      </w:r>
      <w:r>
        <w:rPr>
          <w:color w:val="050100"/>
          <w:spacing w:val="-9"/>
        </w:rPr>
        <w:t>委的决策部署通过法定程序成为地方性法规，确保相关工作于法有据、</w:t>
      </w:r>
      <w:r>
        <w:rPr>
          <w:color w:val="050100"/>
          <w:spacing w:val="-2"/>
        </w:rPr>
        <w:t>有序进行。二是聚焦重点领域。坚持服务改革发展，坚持立法为民理念，围绕高质量发展、民生保障、生态环保、社会治理等重点领域加</w:t>
      </w:r>
      <w:r>
        <w:rPr>
          <w:color w:val="050100"/>
          <w:spacing w:val="-6"/>
        </w:rPr>
        <w:t>强地方立法，在建设区域性国际中心城市、文明行为促进、就业促进、</w:t>
      </w:r>
      <w:r>
        <w:rPr>
          <w:color w:val="050100"/>
          <w:spacing w:val="-2"/>
        </w:rPr>
        <w:t>社会医疗保险、爱国卫生、大气污染防治、安全生产、物业管理、老年人权益保障、历史文化名城保护、生活垃圾管理、非物质文化遗产保护、志愿服务等方面制定（修订）了一大批地方性法规。三是创新立法机制。完善立法起草、论证、协调、审议机制，完善党委领导、人大主导、政府依托、各方参与的工作格局。把握立法前调研、立法中论证、立法后评价等关键环节，加强对涉及复杂利益关系立法问题的协调，确保法规内容科学合理。设立昆明地方立法研究中心，调整地方立法专家库，推动基层立法联系点升级扩容，得到全国人大和省</w:t>
      </w:r>
      <w:r>
        <w:rPr>
          <w:color w:val="050100"/>
          <w:spacing w:val="-4"/>
        </w:rPr>
        <w:t xml:space="preserve">人大的肯定推广。截至 </w:t>
      </w:r>
      <w:r>
        <w:rPr>
          <w:color w:val="050100"/>
        </w:rPr>
        <w:t>2022</w:t>
      </w:r>
      <w:r>
        <w:rPr>
          <w:color w:val="050100"/>
          <w:spacing w:val="-10"/>
        </w:rPr>
        <w:t xml:space="preserve"> 年底，现行有效地方性法规共 </w:t>
      </w:r>
      <w:r>
        <w:rPr>
          <w:color w:val="050100"/>
        </w:rPr>
        <w:t>77</w:t>
      </w:r>
      <w:r>
        <w:rPr>
          <w:color w:val="050100"/>
          <w:spacing w:val="-11"/>
        </w:rPr>
        <w:t xml:space="preserve"> 件，形</w:t>
      </w:r>
      <w:r>
        <w:rPr>
          <w:color w:val="050100"/>
          <w:spacing w:val="-12"/>
        </w:rPr>
        <w:t xml:space="preserve">成了以 </w:t>
      </w:r>
      <w:r>
        <w:rPr>
          <w:color w:val="050100"/>
          <w:spacing w:val="-6"/>
        </w:rPr>
        <w:t>12</w:t>
      </w:r>
      <w:r>
        <w:rPr>
          <w:color w:val="050100"/>
          <w:spacing w:val="-11"/>
        </w:rPr>
        <w:t xml:space="preserve"> 件经济管理类法规、</w:t>
      </w:r>
      <w:r>
        <w:rPr>
          <w:color w:val="050100"/>
          <w:spacing w:val="-6"/>
        </w:rPr>
        <w:t>11</w:t>
      </w:r>
      <w:r>
        <w:rPr>
          <w:color w:val="050100"/>
          <w:spacing w:val="-11"/>
        </w:rPr>
        <w:t xml:space="preserve"> 件社会管理类法规、</w:t>
      </w:r>
      <w:r>
        <w:rPr>
          <w:color w:val="050100"/>
          <w:spacing w:val="-6"/>
        </w:rPr>
        <w:t>13</w:t>
      </w:r>
      <w:r>
        <w:rPr>
          <w:color w:val="050100"/>
          <w:spacing w:val="-11"/>
        </w:rPr>
        <w:t xml:space="preserve"> 件城市建设</w:t>
      </w:r>
      <w:r>
        <w:rPr>
          <w:color w:val="050100"/>
        </w:rPr>
        <w:t>和管理类法规、17 件环境和资源保护类法规、20 件民生和权益保障类法规、4 件人大工作和基层政权建设类法规为主体的符合昆明实际</w:t>
      </w:r>
      <w:r>
        <w:rPr>
          <w:color w:val="050100"/>
          <w:spacing w:val="-2"/>
        </w:rPr>
        <w:t>的地方性法规体系。</w:t>
      </w:r>
    </w:p>
    <w:p>
      <w:pPr>
        <w:pStyle w:val="3"/>
        <w:spacing w:before="5" w:line="350" w:lineRule="auto"/>
        <w:ind w:right="111" w:firstLine="623"/>
      </w:pPr>
      <w:r>
        <w:rPr>
          <w:rFonts w:hint="eastAsia" w:ascii="楷体_GB2312" w:hAnsi="楷体_GB2312" w:eastAsia="楷体_GB2312"/>
          <w:color w:val="050100"/>
          <w:spacing w:val="-2"/>
        </w:rPr>
        <w:t>坚持探索创新增强监督实效。</w:t>
      </w:r>
      <w:r>
        <w:rPr>
          <w:color w:val="050100"/>
          <w:spacing w:val="-2"/>
        </w:rPr>
        <w:t>立足正确监督、有效监督，依法监督，推动重大决策部署和群众关切问题更好落实解决。一是突出监督重点。围绕市委工作大局，聚焦推动经济持续健康发展、巩固脱贫攻坚成果推进乡村振兴、筑牢生态基础守护春城绿水青山、以人民为中心增进民生福祉、加强社会治理促进公平正义等主题开展监督工作，以扎实有效监督践行“昆明发展、人大尽责”的理念。二是健全监督机制。积极探索监督方法由单一监督形式向综合运用多种监督形式转变，监督力度由柔性监督向刚柔并重监督转变，监督制度由对事监督向对事对人融合监督转变。对常委会作出的决议决定适时听取落实情况报告，实施跟踪监督。对重点问题紧盯不放，聚焦扶贫资金到位、</w:t>
      </w:r>
      <w:r>
        <w:rPr>
          <w:color w:val="050100"/>
          <w:spacing w:val="-1"/>
        </w:rPr>
        <w:t xml:space="preserve">农村危房改造、扶贫产业发展，每年突出一个重点，连续 </w:t>
      </w:r>
      <w:r>
        <w:rPr>
          <w:color w:val="050100"/>
        </w:rPr>
        <w:t>3</w:t>
      </w:r>
      <w:r>
        <w:rPr>
          <w:color w:val="050100"/>
          <w:spacing w:val="-5"/>
        </w:rPr>
        <w:t xml:space="preserve"> 年常态化</w:t>
      </w:r>
      <w:r>
        <w:rPr>
          <w:color w:val="050100"/>
          <w:spacing w:val="-2"/>
        </w:rPr>
        <w:t>实施专题询问。建立开展政府向人大报告国有资产管理情况制度，引入第三方加强预算审查监督，实现预算联网监督系统全覆盖。三是增强监督实效。把确保监督效果作为人大履职的刚性要求。听取和审议全面提升昆明国际竞争力、国际吸引力、国际影响力情况的专项工作</w:t>
      </w:r>
      <w:r>
        <w:rPr>
          <w:color w:val="050100"/>
          <w:spacing w:val="-13"/>
        </w:rPr>
        <w:t>报告，有效助推了区域性国际中心城市建设。采取网络公开直播方式，</w:t>
      </w:r>
      <w:r>
        <w:rPr>
          <w:color w:val="050100"/>
          <w:spacing w:val="-2"/>
        </w:rPr>
        <w:t>对在城市扬尘治理工作中措施落实不到位、管理责任落实不到位的市住建局开展了“辣味”十足的当面质询，强力推动昆明大气生态环境的持续改善。聚焦生态环境保护，创新开展五级代表集中调研视察、省市县三级人大联动执法检查和市区人大联动质询、约见约谈、专项</w:t>
      </w:r>
    </w:p>
    <w:p>
      <w:pPr>
        <w:spacing w:after="0" w:line="350" w:lineRule="auto"/>
        <w:sectPr>
          <w:pgSz w:w="11910" w:h="16840"/>
          <w:pgMar w:top="1040" w:right="860" w:bottom="660" w:left="860" w:header="0" w:footer="473" w:gutter="0"/>
          <w:pgNumType w:fmt="decimal"/>
          <w:cols w:space="720" w:num="1"/>
        </w:sectPr>
      </w:pPr>
    </w:p>
    <w:p>
      <w:pPr>
        <w:pStyle w:val="3"/>
        <w:spacing w:before="31" w:line="350" w:lineRule="auto"/>
        <w:ind w:right="270"/>
      </w:pPr>
      <w:r>
        <w:rPr>
          <w:color w:val="050100"/>
          <w:spacing w:val="8"/>
        </w:rPr>
        <w:t>工作评议等全链条监督。对市人民政府</w:t>
      </w:r>
      <w:r>
        <w:rPr>
          <w:color w:val="050100"/>
        </w:rPr>
        <w:t>“10</w:t>
      </w:r>
      <w:r>
        <w:rPr>
          <w:color w:val="050100"/>
          <w:spacing w:val="-1"/>
        </w:rPr>
        <w:t xml:space="preserve"> 件惠民实事”落实情况</w:t>
      </w:r>
      <w:r>
        <w:rPr>
          <w:color w:val="050100"/>
          <w:spacing w:val="-2"/>
        </w:rPr>
        <w:t>开展专项工作评议，保证了惠民实事项目真正办到群众心坎上。</w:t>
      </w:r>
    </w:p>
    <w:p>
      <w:pPr>
        <w:pStyle w:val="3"/>
        <w:spacing w:before="3" w:line="350" w:lineRule="auto"/>
        <w:ind w:right="111" w:firstLine="623"/>
      </w:pPr>
      <w:r>
        <w:rPr>
          <w:rFonts w:hint="eastAsia" w:ascii="楷体_GB2312" w:hAnsi="楷体_GB2312" w:eastAsia="楷体_GB2312"/>
          <w:color w:val="050100"/>
          <w:spacing w:val="-2"/>
        </w:rPr>
        <w:t>坚持议大事谋全局做好重大事项决定。</w:t>
      </w:r>
      <w:r>
        <w:rPr>
          <w:color w:val="050100"/>
          <w:spacing w:val="-2"/>
        </w:rPr>
        <w:t>立足全局，着眼长远，及时对全市带有全局性、根本性、长远性的重大事项依法做出相关决议决定。一是把准定位，落实指示。认真贯彻习近平总书记对云南工作的重要指示，切实把“三个定位”要求落实到依法履职工作中，提出 “把昆明建设成为民族团结进步示范市和铸牢中华民族共同体意识示范区促进区”议案，并作出相关决议。作出促进区域性国际中心城市建设的决定，推动面向南亚东南亚辐射中心建设，谋划好昆明市中长期发展蓝图。及时作出关于依法防控疫情的决定，助力疫情防控和经济社会统筹发展。二是围绕中心，服务大局。在优化营商环境上持续用力，组织开展“百名人大代表营商环境监督”主题活动，市人代会通过了关于打造市场化法治化国际化便利化一流营商环境的议案的决议，推动政府进一步深化作风革命、效能革命。深入磨憨国际口岸调研，向省人代会提出关于行使重大事项决定权，加快推动磨憨国际口</w:t>
      </w:r>
      <w:r>
        <w:rPr>
          <w:color w:val="050100"/>
          <w:spacing w:val="-12"/>
        </w:rPr>
        <w:t>岸城市建设的议案，争取省级层面支持，加快磨憨国际口岸城市建设。</w:t>
      </w:r>
      <w:r>
        <w:rPr>
          <w:color w:val="050100"/>
          <w:spacing w:val="-2"/>
        </w:rPr>
        <w:t>三是关注民生，推进法治。围绕人民群众关注的重点热点，作出学习宣传实施民法典、开展“八五”普法、加强检察机关公益诉讼工作等决议决定，推进全面依法治市。作出贯彻执行全国人大全面禁止非法野生动物交易、革除滥食野生动物陋习的决定。作出关于厉行节约、制止餐饮浪费的决定，切实解决好民生关注问题。</w:t>
      </w:r>
    </w:p>
    <w:p>
      <w:pPr>
        <w:pStyle w:val="3"/>
        <w:spacing w:before="26" w:line="350" w:lineRule="auto"/>
        <w:ind w:right="271" w:firstLine="623"/>
        <w:jc w:val="both"/>
      </w:pPr>
      <w:r>
        <w:rPr>
          <w:rFonts w:hint="eastAsia" w:ascii="楷体_GB2312" w:eastAsia="楷体_GB2312"/>
          <w:color w:val="050100"/>
          <w:spacing w:val="-2"/>
        </w:rPr>
        <w:t>坚持党管干部原则严格依法任免。</w:t>
      </w:r>
      <w:r>
        <w:rPr>
          <w:color w:val="050100"/>
          <w:spacing w:val="-2"/>
        </w:rPr>
        <w:t>始终坚持党管干部原则与人大严格依法任免有机统一，依法行使人事任免权。一是完善任免办法。</w:t>
      </w:r>
      <w:r>
        <w:rPr>
          <w:color w:val="050100"/>
          <w:spacing w:val="-1"/>
        </w:rPr>
        <w:t>建立完善任免国家机关工作人员办法，规范常委会任免干部的形式、</w:t>
      </w:r>
    </w:p>
    <w:p>
      <w:pPr>
        <w:spacing w:after="0" w:line="350" w:lineRule="auto"/>
        <w:jc w:val="both"/>
        <w:sectPr>
          <w:pgSz w:w="11910" w:h="16840"/>
          <w:pgMar w:top="1040" w:right="860" w:bottom="660" w:left="860" w:header="0" w:footer="473" w:gutter="0"/>
          <w:pgNumType w:fmt="decimal"/>
          <w:cols w:space="720" w:num="1"/>
        </w:sectPr>
      </w:pPr>
    </w:p>
    <w:p>
      <w:pPr>
        <w:pStyle w:val="3"/>
        <w:spacing w:before="31" w:line="350" w:lineRule="auto"/>
        <w:ind w:right="111"/>
        <w:sectPr>
          <w:pgSz w:w="11910" w:h="16840"/>
          <w:pgMar w:top="1040" w:right="860" w:bottom="660" w:left="860" w:header="0" w:footer="473" w:gutter="0"/>
          <w:pgNumType w:fmt="decimal"/>
          <w:cols w:space="720" w:num="1"/>
        </w:sectPr>
      </w:pPr>
      <w:r>
        <w:rPr>
          <w:color w:val="050100"/>
          <w:spacing w:val="-2"/>
        </w:rPr>
        <w:t>程序和内容。二是依法行使权力。在任命国家公职人员时，常委会组成人员严格把关，发表意见。向被任命人员现场颁发任命书，进行任</w:t>
      </w:r>
      <w:r>
        <w:rPr>
          <w:color w:val="050100"/>
          <w:spacing w:val="-12"/>
        </w:rPr>
        <w:t>职发言和宪法宣誓，强化任职人员的宪法意识、法律意识和责任意识。</w:t>
      </w:r>
      <w:r>
        <w:rPr>
          <w:color w:val="050100"/>
          <w:spacing w:val="-2"/>
        </w:rPr>
        <w:t>三是加强任后监督。制定《关于对不依法履职尽责的市人民政府组成部门负责人予以撤职的办法》，切实加强对任命干部的任后监督，从制度层面推动人大监督对事与对人的有机统一。每年有针对性地选择部分人大任命干部在常委会会议上进行述法述职报告并进行评议，提高刚性监督实效。</w:t>
      </w:r>
    </w:p>
    <w:p>
      <w:pPr>
        <w:pStyle w:val="9"/>
        <w:numPr>
          <w:ilvl w:val="0"/>
          <w:numId w:val="0"/>
        </w:numPr>
        <w:tabs>
          <w:tab w:val="left" w:pos="1298"/>
        </w:tabs>
        <w:spacing w:before="190" w:after="0" w:line="240" w:lineRule="auto"/>
        <w:ind w:right="0" w:rightChars="0"/>
        <w:jc w:val="left"/>
        <w:rPr>
          <w:sz w:val="15"/>
        </w:rPr>
      </w:pPr>
    </w:p>
    <w:bookmarkEnd w:id="5"/>
    <w:sectPr>
      <w:footerReference r:id="rId8" w:type="default"/>
      <w:pgSz w:w="11910" w:h="16840"/>
      <w:pgMar w:top="1920" w:right="860" w:bottom="280" w:left="8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E8D8CF7-3937-4B69-8090-8DCF2ED257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0DC2692-C2A2-4D2E-96AD-984A6C2B36AD}"/>
  </w:font>
  <w:font w:name="方正小标宋_GBK">
    <w:panose1 w:val="02000000000000000000"/>
    <w:charset w:val="86"/>
    <w:family w:val="script"/>
    <w:pitch w:val="default"/>
    <w:sig w:usb0="A00002BF" w:usb1="38CF7CFA" w:usb2="00082016" w:usb3="00000000" w:csb0="00040001" w:csb1="00000000"/>
    <w:embedRegular r:id="rId3" w:fontKey="{556BF848-E37D-416F-8613-3ABA97E95541}"/>
  </w:font>
  <w:font w:name="AdobeSongStd-Light">
    <w:altName w:val="宋体"/>
    <w:panose1 w:val="00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4" w:fontKey="{B2651F7B-34BF-43BF-B9A0-7A62889ED7F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3538220</wp:posOffset>
              </wp:positionH>
              <wp:positionV relativeFrom="page">
                <wp:posOffset>10252075</wp:posOffset>
              </wp:positionV>
              <wp:extent cx="482600" cy="177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82600" cy="177800"/>
                      </a:xfrm>
                      <a:prstGeom prst="rect">
                        <a:avLst/>
                      </a:prstGeom>
                      <a:noFill/>
                      <a:ln>
                        <a:noFill/>
                      </a:ln>
                    </wps:spPr>
                    <wps:txbx>
                      <w:txbxContent>
                        <w:p>
                          <w:pPr>
                            <w:spacing w:before="0" w:line="280" w:lineRule="exact"/>
                            <w:ind w:left="20" w:right="0" w:firstLine="0"/>
                            <w:jc w:val="left"/>
                            <w:rPr>
                              <w:sz w:val="28"/>
                              <w:szCs w:val="28"/>
                            </w:rPr>
                          </w:pPr>
                          <w:r>
                            <w:rPr>
                              <w:color w:val="231F20"/>
                              <w:sz w:val="28"/>
                              <w:szCs w:val="28"/>
                            </w:rPr>
                            <w:t>—</w:t>
                          </w:r>
                          <w:r>
                            <w:rPr>
                              <w:color w:val="231F20"/>
                              <w:spacing w:val="-5"/>
                              <w:sz w:val="28"/>
                              <w:szCs w:val="28"/>
                            </w:rPr>
                            <w:fldChar w:fldCharType="begin"/>
                          </w:r>
                          <w:r>
                            <w:rPr>
                              <w:color w:val="231F20"/>
                              <w:spacing w:val="-5"/>
                              <w:sz w:val="28"/>
                              <w:szCs w:val="28"/>
                            </w:rPr>
                            <w:instrText xml:space="preserve"> PAGE </w:instrText>
                          </w:r>
                          <w:r>
                            <w:rPr>
                              <w:color w:val="231F20"/>
                              <w:spacing w:val="-5"/>
                              <w:sz w:val="28"/>
                              <w:szCs w:val="28"/>
                            </w:rPr>
                            <w:fldChar w:fldCharType="separate"/>
                          </w:r>
                          <w:r>
                            <w:rPr>
                              <w:color w:val="231F20"/>
                              <w:spacing w:val="-5"/>
                              <w:sz w:val="28"/>
                              <w:szCs w:val="28"/>
                            </w:rPr>
                            <w:t>10</w:t>
                          </w:r>
                          <w:r>
                            <w:rPr>
                              <w:color w:val="231F20"/>
                              <w:spacing w:val="-5"/>
                              <w:sz w:val="28"/>
                              <w:szCs w:val="28"/>
                            </w:rPr>
                            <w:fldChar w:fldCharType="end"/>
                          </w:r>
                          <w:r>
                            <w:rPr>
                              <w:color w:val="231F20"/>
                              <w:spacing w:val="-5"/>
                              <w:sz w:val="28"/>
                              <w:szCs w:val="28"/>
                            </w:rPr>
                            <w:t>—</w:t>
                          </w:r>
                        </w:p>
                      </w:txbxContent>
                    </wps:txbx>
                    <wps:bodyPr lIns="0" tIns="0" rIns="0" bIns="0" upright="1"/>
                  </wps:wsp>
                </a:graphicData>
              </a:graphic>
            </wp:anchor>
          </w:drawing>
        </mc:Choice>
        <mc:Fallback>
          <w:pict>
            <v:shape id="_x0000_s1026" o:spid="_x0000_s1026" o:spt="202" type="#_x0000_t202" style="position:absolute;left:0pt;margin-left:278.6pt;margin-top:807.25pt;height:14pt;width:38pt;mso-position-horizontal-relative:page;mso-position-vertical-relative:page;z-index:-251656192;mso-width-relative:page;mso-height-relative:page;" filled="f" stroked="f" coordsize="21600,21600" o:gfxdata="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pv8xraAAAADQEAAA8AAAAAAAAAAQAgAAAAIgAAAGRycy9kb3ducmV2LnhtbFBLAQIU&#10;ABQAAAAIAIdO4kAW+WmBuAEAAHEDAAAOAAAAAAAAAAEAIAAAACkBAABkcnMvZTJvRG9jLnhtbFBL&#10;BQYAAAAABgAGAFkBAABTBQAAAAA=&#10;">
              <v:fill on="f" focussize="0,0"/>
              <v:stroke on="f"/>
              <v:imagedata o:title=""/>
              <o:lock v:ext="edit" aspectratio="f"/>
              <v:textbox inset="0mm,0mm,0mm,0mm">
                <w:txbxContent>
                  <w:p>
                    <w:pPr>
                      <w:spacing w:before="0" w:line="280" w:lineRule="exact"/>
                      <w:ind w:left="20" w:right="0" w:firstLine="0"/>
                      <w:jc w:val="left"/>
                      <w:rPr>
                        <w:sz w:val="28"/>
                        <w:szCs w:val="28"/>
                      </w:rPr>
                    </w:pPr>
                    <w:r>
                      <w:rPr>
                        <w:color w:val="231F20"/>
                        <w:sz w:val="28"/>
                        <w:szCs w:val="28"/>
                      </w:rPr>
                      <w:t>—</w:t>
                    </w:r>
                    <w:r>
                      <w:rPr>
                        <w:color w:val="231F20"/>
                        <w:spacing w:val="-5"/>
                        <w:sz w:val="28"/>
                        <w:szCs w:val="28"/>
                      </w:rPr>
                      <w:fldChar w:fldCharType="begin"/>
                    </w:r>
                    <w:r>
                      <w:rPr>
                        <w:color w:val="231F20"/>
                        <w:spacing w:val="-5"/>
                        <w:sz w:val="28"/>
                        <w:szCs w:val="28"/>
                      </w:rPr>
                      <w:instrText xml:space="preserve"> PAGE </w:instrText>
                    </w:r>
                    <w:r>
                      <w:rPr>
                        <w:color w:val="231F20"/>
                        <w:spacing w:val="-5"/>
                        <w:sz w:val="28"/>
                        <w:szCs w:val="28"/>
                      </w:rPr>
                      <w:fldChar w:fldCharType="separate"/>
                    </w:r>
                    <w:r>
                      <w:rPr>
                        <w:color w:val="231F20"/>
                        <w:spacing w:val="-5"/>
                        <w:sz w:val="28"/>
                        <w:szCs w:val="28"/>
                      </w:rPr>
                      <w:t>10</w:t>
                    </w:r>
                    <w:r>
                      <w:rPr>
                        <w:color w:val="231F20"/>
                        <w:spacing w:val="-5"/>
                        <w:sz w:val="28"/>
                        <w:szCs w:val="28"/>
                      </w:rPr>
                      <w:fldChar w:fldCharType="end"/>
                    </w:r>
                    <w:r>
                      <w:rPr>
                        <w:color w:val="231F20"/>
                        <w:spacing w:val="-5"/>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2YzNjBkOTgyNWQ1YTMxYzM3MzMwNWFiODNmOWIzYWMifQ=="/>
  </w:docVars>
  <w:rsids>
    <w:rsidRoot w:val="00172A27"/>
    <w:rsid w:val="01852063"/>
    <w:rsid w:val="028247F4"/>
    <w:rsid w:val="0809595D"/>
    <w:rsid w:val="176A670F"/>
    <w:rsid w:val="19467615"/>
    <w:rsid w:val="1B3E4A1C"/>
    <w:rsid w:val="1BB37E93"/>
    <w:rsid w:val="1C556F0D"/>
    <w:rsid w:val="1D3F5615"/>
    <w:rsid w:val="1EDD42E7"/>
    <w:rsid w:val="2CAF36F6"/>
    <w:rsid w:val="2DAC172B"/>
    <w:rsid w:val="4B600080"/>
    <w:rsid w:val="58EE672B"/>
    <w:rsid w:val="59877857"/>
    <w:rsid w:val="5A261F31"/>
    <w:rsid w:val="674B2B00"/>
    <w:rsid w:val="70561270"/>
    <w:rsid w:val="7131308F"/>
    <w:rsid w:val="7362230D"/>
    <w:rsid w:val="752E1D56"/>
    <w:rsid w:val="7BEB77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zh-CN" w:bidi="ar-SA"/>
    </w:rPr>
  </w:style>
  <w:style w:type="paragraph" w:styleId="2">
    <w:name w:val="heading 1"/>
    <w:basedOn w:val="1"/>
    <w:next w:val="1"/>
    <w:qFormat/>
    <w:uiPriority w:val="1"/>
    <w:pPr>
      <w:spacing w:line="700" w:lineRule="exact"/>
      <w:jc w:val="center"/>
      <w:outlineLvl w:val="0"/>
    </w:pPr>
    <w:rPr>
      <w:rFonts w:ascii="黑体" w:hAnsi="黑体" w:eastAsia="方正小标宋_GBK" w:cs="黑体"/>
      <w:sz w:val="44"/>
      <w:szCs w:val="38"/>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273"/>
    </w:pPr>
    <w:rPr>
      <w:rFonts w:ascii="仿宋_GB2312" w:hAnsi="仿宋_GB2312" w:eastAsia="仿宋_GB2312" w:cs="仿宋_GB2312"/>
      <w:sz w:val="32"/>
      <w:szCs w:val="3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190"/>
      <w:ind w:left="1297" w:hanging="401"/>
    </w:pPr>
    <w:rPr>
      <w:rFonts w:ascii="仿宋_GB2312" w:hAnsi="仿宋_GB2312" w:eastAsia="仿宋_GB2312" w:cs="仿宋_GB2312"/>
      <w:lang w:val="en-US" w:eastAsia="zh-CN" w:bidi="ar-SA"/>
    </w:rPr>
  </w:style>
  <w:style w:type="paragraph" w:customStyle="1" w:styleId="10">
    <w:name w:val="Table Paragraph"/>
    <w:basedOn w:val="1"/>
    <w:qFormat/>
    <w:uiPriority w:val="1"/>
    <w:rPr>
      <w:lang w:val="en-US" w:eastAsia="zh-CN" w:bidi="ar-SA"/>
    </w:rPr>
  </w:style>
  <w:style w:type="paragraph" w:customStyle="1" w:styleId="11">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AdobeSongStd-Light" w:hAnsi="AdobeSongStd-Light" w:eastAsia="AdobeSongStd-Light" w:cstheme="minorBidi"/>
      <w:color w:val="000000"/>
      <w:sz w:val="24"/>
      <w:szCs w:val="24"/>
      <w:lang w:val="zh-CN"/>
    </w:rPr>
  </w:style>
  <w:style w:type="paragraph" w:customStyle="1" w:styleId="12">
    <w:name w:val="[基本段落]"/>
    <w:basedOn w:val="11"/>
    <w:unhideWhenUsed/>
    <w:qFormat/>
    <w:uiPriority w:val="99"/>
    <w:pPr>
      <w:spacing w:beforeLines="0" w:afterLines="0"/>
    </w:pPr>
    <w:rPr>
      <w:rFonts w:hint="eastAsia"/>
      <w:sz w:val="24"/>
      <w:szCs w:val="24"/>
    </w:rPr>
  </w:style>
  <w:style w:type="paragraph" w:customStyle="1" w:styleId="13">
    <w:name w:val="WPSOffice手动目录 1"/>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8917</Words>
  <Characters>8935</Characters>
  <TotalTime>163</TotalTime>
  <ScaleCrop>false</ScaleCrop>
  <LinksUpToDate>false</LinksUpToDate>
  <CharactersWithSpaces>9002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2023-05-09T06:28:00Z</dcterms:created>
  <dc:creator>40464</dc:creator>
  <cp:lastModifiedBy>泽</cp:lastModifiedBy>
  <dcterms:modified xsi:type="dcterms:W3CDTF">2023-09-22T10:04:40Z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2023-05-09T00:00:00Z</vt:filetime>
  </property>
  <property fmtid="{D5CDD505-2E9C-101B-9397-08002B2CF9AE}" pid="3" name="Creator">
    <vt:lpwstr>Adobe InDesign 15.0 (Windows)</vt:lpwstr>
  </property>
  <property fmtid="{D5CDD505-2E9C-101B-9397-08002B2CF9AE}" pid="4" name="LastSaved">
    <vt:filetime>2023-05-09T00:00:00Z</vt:filetime>
  </property>
  <property fmtid="{D5CDD505-2E9C-101B-9397-08002B2CF9AE}" pid="5" name="Producer">
    <vt:lpwstr>Adobe PDF Library 15.0</vt:lpwstr>
  </property>
  <property fmtid="{D5CDD505-2E9C-101B-9397-08002B2CF9AE}" pid="6" name="KSOProductBuildVer">
    <vt:lpwstr>2052-11.1.0.14309</vt:lpwstr>
  </property>
  <property fmtid="{D5CDD505-2E9C-101B-9397-08002B2CF9AE}" pid="7" name="ICV">
    <vt:lpwstr>F8F805FE509A40B0AB728852F0D2737B_13</vt:lpwstr>
  </property>
</Properties>
</file>