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689" w:lineRule="exact"/>
        <w:ind w:left="0" w:right="0" w:firstLine="0"/>
        <w:jc w:val="center"/>
        <w:rPr>
          <w:sz w:val="22"/>
        </w:rPr>
      </w:pPr>
      <w:r>
        <w:rPr>
          <w:rFonts w:hint="eastAsia" w:ascii="方正小标宋_GBK" w:eastAsia="方正小标宋_GBK"/>
          <w:color w:val="231F20"/>
          <w:spacing w:val="-1"/>
          <w:sz w:val="44"/>
          <w:lang w:val="en-US" w:eastAsia="zh-CN"/>
        </w:rPr>
        <w:drawing>
          <wp:anchor distT="0" distB="0" distL="114300" distR="114300" simplePos="0" relativeHeight="251660288" behindDoc="0" locked="0" layoutInCell="1" allowOverlap="1">
            <wp:simplePos x="0" y="0"/>
            <wp:positionH relativeFrom="column">
              <wp:posOffset>-612140</wp:posOffset>
            </wp:positionH>
            <wp:positionV relativeFrom="paragraph">
              <wp:posOffset>-1013460</wp:posOffset>
            </wp:positionV>
            <wp:extent cx="7699375" cy="10813415"/>
            <wp:effectExtent l="0" t="0" r="15875" b="6985"/>
            <wp:wrapNone/>
            <wp:docPr id="16" name="图片 16" descr="2 (4)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 (4) 拷贝"/>
                    <pic:cNvPicPr>
                      <a:picLocks noChangeAspect="1"/>
                    </pic:cNvPicPr>
                  </pic:nvPicPr>
                  <pic:blipFill>
                    <a:blip r:embed="rId12"/>
                    <a:stretch>
                      <a:fillRect/>
                    </a:stretch>
                  </pic:blipFill>
                  <pic:spPr>
                    <a:xfrm>
                      <a:off x="0" y="0"/>
                      <a:ext cx="7699375" cy="10813415"/>
                    </a:xfrm>
                    <a:prstGeom prst="rect">
                      <a:avLst/>
                    </a:prstGeom>
                  </pic:spPr>
                </pic:pic>
              </a:graphicData>
            </a:graphic>
          </wp:anchor>
        </w:drawing>
      </w: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both"/>
        <w:rPr>
          <w:rFonts w:hint="default"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sectPr>
          <w:footerReference r:id="rId5" w:type="default"/>
          <w:pgSz w:w="11910" w:h="16840"/>
          <w:pgMar w:top="1540" w:right="860" w:bottom="660" w:left="860" w:header="0" w:footer="473" w:gutter="0"/>
          <w:pgNumType w:fmt="decimal" w:start="1"/>
          <w:cols w:space="720" w:num="1"/>
        </w:sectPr>
      </w:pPr>
    </w:p>
    <w:p>
      <w:pPr>
        <w:spacing w:before="0" w:line="689" w:lineRule="exact"/>
        <w:ind w:left="0" w:right="0" w:firstLine="0"/>
        <w:jc w:val="center"/>
        <w:rPr>
          <w:rFonts w:hint="eastAsia" w:ascii="方正小标宋_GBK" w:eastAsia="方正小标宋_GBK"/>
          <w:color w:val="231F20"/>
          <w:spacing w:val="-1"/>
          <w:sz w:val="44"/>
          <w:lang w:val="en-US" w:eastAsia="zh-CN"/>
        </w:rPr>
        <w:sectPr>
          <w:pgSz w:w="11910" w:h="16840"/>
          <w:pgMar w:top="1540" w:right="860" w:bottom="660" w:left="860" w:header="0" w:footer="473" w:gutter="0"/>
          <w:pgNumType w:fmt="decimal" w:start="1"/>
          <w:cols w:space="720" w:num="1"/>
        </w:sect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sectPr>
          <w:footerReference r:id="rId6" w:type="default"/>
          <w:pgSz w:w="11910" w:h="16840"/>
          <w:pgMar w:top="1540" w:right="860" w:bottom="660" w:left="860" w:header="0" w:footer="473" w:gutter="0"/>
          <w:pgNumType w:fmt="decimal" w:start="1"/>
          <w:cols w:space="720" w:num="1"/>
        </w:sectPr>
      </w:pPr>
    </w:p>
    <w:p>
      <w:pPr>
        <w:tabs>
          <w:tab w:val="left" w:pos="659"/>
        </w:tabs>
        <w:spacing w:before="0" w:line="737" w:lineRule="exact"/>
        <w:ind w:left="0" w:right="0" w:firstLine="0"/>
        <w:jc w:val="center"/>
        <w:rPr>
          <w:rFonts w:hint="eastAsia" w:ascii="方正小标宋_GBK" w:eastAsia="方正小标宋_GBK"/>
          <w:sz w:val="44"/>
        </w:rPr>
      </w:pPr>
      <w:r>
        <w:rPr>
          <w:rFonts w:hint="eastAsia" w:ascii="方正小标宋_GBK" w:eastAsia="方正小标宋_GBK"/>
          <w:color w:val="231F20"/>
          <w:spacing w:val="-10"/>
          <w:sz w:val="44"/>
        </w:rPr>
        <w:t>目</w:t>
      </w:r>
      <w:r>
        <w:rPr>
          <w:rFonts w:hint="eastAsia" w:ascii="方正小标宋_GBK" w:eastAsia="方正小标宋_GBK"/>
          <w:color w:val="231F20"/>
          <w:sz w:val="44"/>
        </w:rPr>
        <w:tab/>
      </w:r>
      <w:r>
        <w:rPr>
          <w:rFonts w:hint="eastAsia" w:ascii="方正小标宋_GBK" w:eastAsia="方正小标宋_GBK"/>
          <w:color w:val="231F20"/>
          <w:spacing w:val="-10"/>
          <w:sz w:val="44"/>
        </w:rPr>
        <w:t>录</w:t>
      </w:r>
    </w:p>
    <w:p>
      <w:pPr>
        <w:pStyle w:val="3"/>
        <w:spacing w:before="10"/>
        <w:ind w:left="0"/>
        <w:rPr>
          <w:rFonts w:ascii="方正小标宋_GBK"/>
          <w:sz w:val="29"/>
        </w:rPr>
      </w:pPr>
    </w:p>
    <w:sdt>
      <w:sdtPr>
        <w:rPr>
          <w:rFonts w:ascii="宋体" w:hAnsi="宋体" w:eastAsia="宋体" w:cs="仿宋_GB2312"/>
          <w:sz w:val="21"/>
          <w:szCs w:val="22"/>
          <w:lang w:val="en-US" w:eastAsia="zh-CN" w:bidi="ar-SA"/>
        </w:rPr>
        <w:id w:val="147474868"/>
        <w15:color w:val="DBDBDB"/>
        <w:docPartObj>
          <w:docPartGallery w:val="Table of Contents"/>
          <w:docPartUnique/>
        </w:docPartObj>
      </w:sdtPr>
      <w:sdtEndPr>
        <w:rPr>
          <w:rFonts w:hint="eastAsia" w:ascii="仿宋_GB2312" w:hAnsi="仿宋_GB2312" w:eastAsia="仿宋_GB2312" w:cs="仿宋_GB2312"/>
          <w:sz w:val="32"/>
          <w:szCs w:val="32"/>
          <w:lang w:val="en-US" w:eastAsia="zh-CN" w:bidi="ar-SA"/>
        </w:rPr>
      </w:sdtEndPr>
      <w:sdtContent>
        <w:p>
          <w:pPr>
            <w:spacing w:before="0" w:beforeLines="0" w:after="0" w:afterLines="0" w:line="240" w:lineRule="auto"/>
            <w:ind w:left="0" w:leftChars="0" w:right="0" w:rightChars="0" w:firstLine="0" w:firstLineChars="0"/>
            <w:jc w:val="center"/>
          </w:pPr>
        </w:p>
        <w:p>
          <w:pPr>
            <w:pStyle w:val="6"/>
            <w:tabs>
              <w:tab w:val="right" w:leader="dot" w:pos="10190"/>
            </w:tabs>
            <w:rPr>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"1-1" \h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_Toc12485 </w:instrText>
          </w:r>
          <w:r>
            <w:rPr>
              <w:rFonts w:hint="eastAsia" w:ascii="仿宋_GB2312" w:hAnsi="仿宋_GB2312" w:eastAsia="仿宋_GB2312" w:cs="仿宋_GB2312"/>
              <w:sz w:val="32"/>
              <w:szCs w:val="32"/>
            </w:rPr>
            <w:fldChar w:fldCharType="separate"/>
          </w:r>
          <w:r>
            <w:rPr>
              <w:rFonts w:hint="eastAsia"/>
              <w:sz w:val="32"/>
              <w:szCs w:val="32"/>
            </w:rPr>
            <w:t>坚持党建引领 彰显人大担当</w:t>
          </w:r>
          <w:r>
            <w:rPr>
              <w:sz w:val="32"/>
              <w:szCs w:val="32"/>
            </w:rPr>
            <w:tab/>
          </w:r>
          <w:r>
            <w:rPr>
              <w:sz w:val="32"/>
              <w:szCs w:val="32"/>
            </w:rPr>
            <w:fldChar w:fldCharType="begin"/>
          </w:r>
          <w:r>
            <w:rPr>
              <w:sz w:val="32"/>
              <w:szCs w:val="32"/>
            </w:rPr>
            <w:instrText xml:space="preserve"> PAGEREF _Toc12485 \h </w:instrText>
          </w:r>
          <w:r>
            <w:rPr>
              <w:sz w:val="32"/>
              <w:szCs w:val="32"/>
            </w:rPr>
            <w:fldChar w:fldCharType="separate"/>
          </w:r>
          <w:r>
            <w:rPr>
              <w:sz w:val="32"/>
              <w:szCs w:val="32"/>
            </w:rPr>
            <w:t>1</w:t>
          </w:r>
          <w:r>
            <w:rPr>
              <w:sz w:val="32"/>
              <w:szCs w:val="32"/>
            </w:rPr>
            <w:fldChar w:fldCharType="end"/>
          </w:r>
          <w:r>
            <w:rPr>
              <w:rFonts w:hint="eastAsia" w:ascii="仿宋_GB2312" w:hAnsi="仿宋_GB2312" w:eastAsia="仿宋_GB2312" w:cs="仿宋_GB2312"/>
              <w:sz w:val="32"/>
              <w:szCs w:val="32"/>
            </w:rPr>
            <w:fldChar w:fldCharType="end"/>
          </w:r>
        </w:p>
        <w:p>
          <w:pPr>
            <w:pStyle w:val="6"/>
            <w:tabs>
              <w:tab w:val="right" w:leader="dot" w:pos="10190"/>
            </w:tabs>
            <w:rPr>
              <w:sz w:val="32"/>
              <w:szCs w:val="32"/>
            </w:rPr>
          </w:pPr>
        </w:p>
        <w:p>
          <w:pPr>
            <w:pStyle w:val="6"/>
            <w:tabs>
              <w:tab w:val="right" w:leader="dot" w:pos="10190"/>
            </w:tabs>
            <w:rPr>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_Toc23374 </w:instrText>
          </w:r>
          <w:r>
            <w:rPr>
              <w:rFonts w:hint="eastAsia" w:ascii="仿宋_GB2312" w:hAnsi="仿宋_GB2312" w:eastAsia="仿宋_GB2312" w:cs="仿宋_GB2312"/>
              <w:sz w:val="32"/>
              <w:szCs w:val="32"/>
            </w:rPr>
            <w:fldChar w:fldCharType="separate"/>
          </w:r>
          <w:r>
            <w:rPr>
              <w:rFonts w:hint="eastAsia"/>
              <w:sz w:val="32"/>
              <w:szCs w:val="32"/>
            </w:rPr>
            <w:t>明“三色” 亮品牌</w:t>
          </w:r>
          <w:r>
            <w:rPr>
              <w:sz w:val="32"/>
              <w:szCs w:val="32"/>
            </w:rPr>
            <w:tab/>
          </w:r>
          <w:r>
            <w:rPr>
              <w:sz w:val="32"/>
              <w:szCs w:val="32"/>
            </w:rPr>
            <w:fldChar w:fldCharType="begin"/>
          </w:r>
          <w:r>
            <w:rPr>
              <w:sz w:val="32"/>
              <w:szCs w:val="32"/>
            </w:rPr>
            <w:instrText xml:space="preserve"> PAGEREF _Toc23374 \h </w:instrText>
          </w:r>
          <w:r>
            <w:rPr>
              <w:sz w:val="32"/>
              <w:szCs w:val="32"/>
            </w:rPr>
            <w:fldChar w:fldCharType="separate"/>
          </w:r>
          <w:r>
            <w:rPr>
              <w:sz w:val="32"/>
              <w:szCs w:val="32"/>
            </w:rPr>
            <w:t>12</w:t>
          </w:r>
          <w:r>
            <w:rPr>
              <w:sz w:val="32"/>
              <w:szCs w:val="32"/>
            </w:rPr>
            <w:fldChar w:fldCharType="end"/>
          </w:r>
          <w:r>
            <w:rPr>
              <w:rFonts w:hint="eastAsia" w:ascii="仿宋_GB2312" w:hAnsi="仿宋_GB2312" w:eastAsia="仿宋_GB2312" w:cs="仿宋_GB2312"/>
              <w:sz w:val="32"/>
              <w:szCs w:val="32"/>
            </w:rPr>
            <w:fldChar w:fldCharType="end"/>
          </w:r>
        </w:p>
        <w:p>
          <w:pPr>
            <w:pStyle w:val="6"/>
            <w:tabs>
              <w:tab w:val="right" w:leader="dot" w:pos="10190"/>
            </w:tabs>
            <w:rPr>
              <w:rFonts w:hint="eastAsia" w:ascii="仿宋_GB2312" w:hAnsi="仿宋_GB2312" w:eastAsia="仿宋_GB2312" w:cs="仿宋_GB2312"/>
              <w:sz w:val="32"/>
              <w:szCs w:val="32"/>
            </w:rPr>
          </w:pPr>
        </w:p>
        <w:p>
          <w:pPr>
            <w:pStyle w:val="6"/>
            <w:tabs>
              <w:tab w:val="right" w:leader="dot" w:pos="10190"/>
            </w:tabs>
            <w:rPr>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_Toc15578 </w:instrText>
          </w:r>
          <w:r>
            <w:rPr>
              <w:rFonts w:hint="eastAsia" w:ascii="仿宋_GB2312" w:hAnsi="仿宋_GB2312" w:eastAsia="仿宋_GB2312" w:cs="仿宋_GB2312"/>
              <w:sz w:val="32"/>
              <w:szCs w:val="32"/>
            </w:rPr>
            <w:fldChar w:fldCharType="separate"/>
          </w:r>
          <w:r>
            <w:rPr>
              <w:rFonts w:hint="eastAsia"/>
              <w:sz w:val="32"/>
              <w:szCs w:val="32"/>
            </w:rPr>
            <w:t>强化规范提升</w:t>
          </w:r>
          <w:r>
            <w:rPr>
              <w:rFonts w:hint="eastAsia"/>
              <w:sz w:val="32"/>
              <w:szCs w:val="32"/>
              <w:lang w:val="en-US" w:eastAsia="zh-CN"/>
            </w:rPr>
            <w:t xml:space="preserve">  </w:t>
          </w:r>
          <w:r>
            <w:rPr>
              <w:rFonts w:hint="eastAsia"/>
              <w:sz w:val="32"/>
              <w:szCs w:val="32"/>
            </w:rPr>
            <w:t>建设坚强堡垒</w:t>
          </w:r>
          <w:r>
            <w:rPr>
              <w:sz w:val="32"/>
              <w:szCs w:val="32"/>
            </w:rPr>
            <w:tab/>
          </w:r>
          <w:r>
            <w:rPr>
              <w:sz w:val="32"/>
              <w:szCs w:val="32"/>
            </w:rPr>
            <w:fldChar w:fldCharType="begin"/>
          </w:r>
          <w:r>
            <w:rPr>
              <w:sz w:val="32"/>
              <w:szCs w:val="32"/>
            </w:rPr>
            <w:instrText xml:space="preserve"> PAGEREF _Toc15578 \h </w:instrText>
          </w:r>
          <w:r>
            <w:rPr>
              <w:sz w:val="32"/>
              <w:szCs w:val="32"/>
            </w:rPr>
            <w:fldChar w:fldCharType="separate"/>
          </w:r>
          <w:r>
            <w:rPr>
              <w:sz w:val="32"/>
              <w:szCs w:val="32"/>
            </w:rPr>
            <w:t>15</w:t>
          </w:r>
          <w:r>
            <w:rPr>
              <w:sz w:val="32"/>
              <w:szCs w:val="32"/>
            </w:rPr>
            <w:fldChar w:fldCharType="end"/>
          </w:r>
          <w:r>
            <w:rPr>
              <w:rFonts w:hint="eastAsia" w:ascii="仿宋_GB2312" w:hAnsi="仿宋_GB2312" w:eastAsia="仿宋_GB2312" w:cs="仿宋_GB2312"/>
              <w:sz w:val="32"/>
              <w:szCs w:val="32"/>
            </w:rPr>
            <w:fldChar w:fldCharType="end"/>
          </w:r>
        </w:p>
        <w:p>
          <w:pPr>
            <w:pStyle w:val="6"/>
            <w:tabs>
              <w:tab w:val="right" w:pos="3200"/>
              <w:tab w:val="right" w:leader="dot" w:pos="10190"/>
            </w:tabs>
            <w:rPr>
              <w:rFonts w:hint="eastAsia" w:ascii="仿宋_GB2312" w:hAnsi="仿宋_GB2312" w:eastAsia="仿宋_GB2312" w:cs="仿宋_GB2312"/>
              <w:sz w:val="32"/>
              <w:szCs w:val="32"/>
            </w:rPr>
          </w:pPr>
        </w:p>
        <w:p>
          <w:pPr>
            <w:pStyle w:val="6"/>
            <w:tabs>
              <w:tab w:val="right" w:pos="3200"/>
              <w:tab w:val="right" w:leader="dot" w:pos="10190"/>
            </w:tabs>
            <w:rPr>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_Toc25892 </w:instrText>
          </w:r>
          <w:r>
            <w:rPr>
              <w:rFonts w:hint="eastAsia" w:ascii="仿宋_GB2312" w:hAnsi="仿宋_GB2312" w:eastAsia="仿宋_GB2312" w:cs="仿宋_GB2312"/>
              <w:sz w:val="32"/>
              <w:szCs w:val="32"/>
            </w:rPr>
            <w:fldChar w:fldCharType="separate"/>
          </w:r>
          <w:r>
            <w:rPr>
              <w:rFonts w:hint="eastAsia"/>
              <w:sz w:val="32"/>
              <w:szCs w:val="32"/>
            </w:rPr>
            <w:t>老有所为作示范</w:t>
          </w:r>
          <w:r>
            <w:rPr>
              <w:rFonts w:hint="eastAsia"/>
              <w:sz w:val="32"/>
              <w:szCs w:val="32"/>
            </w:rPr>
            <w:tab/>
          </w:r>
          <w:r>
            <w:rPr>
              <w:rFonts w:hint="eastAsia"/>
              <w:sz w:val="32"/>
              <w:szCs w:val="32"/>
            </w:rPr>
            <w:t>银发生辉展风采</w:t>
          </w:r>
          <w:r>
            <w:rPr>
              <w:sz w:val="32"/>
              <w:szCs w:val="32"/>
            </w:rPr>
            <w:tab/>
          </w:r>
          <w:r>
            <w:rPr>
              <w:sz w:val="32"/>
              <w:szCs w:val="32"/>
            </w:rPr>
            <w:fldChar w:fldCharType="begin"/>
          </w:r>
          <w:r>
            <w:rPr>
              <w:sz w:val="32"/>
              <w:szCs w:val="32"/>
            </w:rPr>
            <w:instrText xml:space="preserve"> PAGEREF _Toc25892 \h </w:instrText>
          </w:r>
          <w:r>
            <w:rPr>
              <w:sz w:val="32"/>
              <w:szCs w:val="32"/>
            </w:rPr>
            <w:fldChar w:fldCharType="separate"/>
          </w:r>
          <w:r>
            <w:rPr>
              <w:sz w:val="32"/>
              <w:szCs w:val="32"/>
            </w:rPr>
            <w:t>18</w:t>
          </w:r>
          <w:r>
            <w:rPr>
              <w:sz w:val="32"/>
              <w:szCs w:val="32"/>
            </w:rPr>
            <w:fldChar w:fldCharType="end"/>
          </w:r>
          <w:r>
            <w:rPr>
              <w:rFonts w:hint="eastAsia" w:ascii="仿宋_GB2312" w:hAnsi="仿宋_GB2312" w:eastAsia="仿宋_GB2312" w:cs="仿宋_GB2312"/>
              <w:sz w:val="32"/>
              <w:szCs w:val="32"/>
            </w:rPr>
            <w:fldChar w:fldCharType="end"/>
          </w:r>
        </w:p>
        <w:p>
          <w:pPr>
            <w:pStyle w:val="6"/>
            <w:tabs>
              <w:tab w:val="right" w:leader="dot" w:pos="10190"/>
            </w:tabs>
            <w:rPr>
              <w:rFonts w:hint="eastAsia" w:ascii="仿宋_GB2312" w:hAnsi="仿宋_GB2312" w:eastAsia="仿宋_GB2312" w:cs="仿宋_GB2312"/>
              <w:sz w:val="32"/>
              <w:szCs w:val="32"/>
            </w:rPr>
          </w:pPr>
        </w:p>
        <w:p>
          <w:pPr>
            <w:pStyle w:val="6"/>
            <w:tabs>
              <w:tab w:val="right" w:leader="dot" w:pos="10190"/>
            </w:tabs>
            <w:rPr>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_Toc6482 </w:instrText>
          </w:r>
          <w:r>
            <w:rPr>
              <w:rFonts w:hint="eastAsia" w:ascii="仿宋_GB2312" w:hAnsi="仿宋_GB2312" w:eastAsia="仿宋_GB2312" w:cs="仿宋_GB2312"/>
              <w:sz w:val="32"/>
              <w:szCs w:val="32"/>
            </w:rPr>
            <w:fldChar w:fldCharType="separate"/>
          </w:r>
          <w:r>
            <w:rPr>
              <w:rFonts w:hint="eastAsia"/>
              <w:sz w:val="32"/>
              <w:szCs w:val="32"/>
              <w:lang w:val="en-US" w:eastAsia="zh-CN"/>
            </w:rPr>
            <w:t>“五个结合”助推  彰显担当作为</w:t>
          </w:r>
          <w:r>
            <w:rPr>
              <w:sz w:val="32"/>
              <w:szCs w:val="32"/>
            </w:rPr>
            <w:tab/>
          </w:r>
          <w:r>
            <w:rPr>
              <w:sz w:val="32"/>
              <w:szCs w:val="32"/>
            </w:rPr>
            <w:fldChar w:fldCharType="begin"/>
          </w:r>
          <w:r>
            <w:rPr>
              <w:sz w:val="32"/>
              <w:szCs w:val="32"/>
            </w:rPr>
            <w:instrText xml:space="preserve"> PAGEREF _Toc6482 \h </w:instrText>
          </w:r>
          <w:r>
            <w:rPr>
              <w:sz w:val="32"/>
              <w:szCs w:val="32"/>
            </w:rPr>
            <w:fldChar w:fldCharType="separate"/>
          </w:r>
          <w:r>
            <w:rPr>
              <w:sz w:val="32"/>
              <w:szCs w:val="32"/>
            </w:rPr>
            <w:t>21</w:t>
          </w:r>
          <w:r>
            <w:rPr>
              <w:sz w:val="32"/>
              <w:szCs w:val="32"/>
            </w:rPr>
            <w:fldChar w:fldCharType="end"/>
          </w:r>
          <w:r>
            <w:rPr>
              <w:rFonts w:hint="eastAsia" w:ascii="仿宋_GB2312" w:hAnsi="仿宋_GB2312" w:eastAsia="仿宋_GB2312" w:cs="仿宋_GB2312"/>
              <w:sz w:val="32"/>
              <w:szCs w:val="32"/>
            </w:rPr>
            <w:fldChar w:fldCharType="end"/>
          </w:r>
        </w:p>
        <w:p>
          <w:pPr>
            <w:pStyle w:val="6"/>
            <w:tabs>
              <w:tab w:val="right" w:pos="2400"/>
              <w:tab w:val="right" w:leader="dot" w:pos="10190"/>
            </w:tabs>
            <w:rPr>
              <w:rFonts w:hint="eastAsia" w:ascii="仿宋_GB2312" w:hAnsi="仿宋_GB2312" w:eastAsia="仿宋_GB2312" w:cs="仿宋_GB2312"/>
              <w:sz w:val="32"/>
              <w:szCs w:val="32"/>
            </w:rPr>
          </w:pPr>
        </w:p>
        <w:p>
          <w:pPr>
            <w:pStyle w:val="6"/>
            <w:tabs>
              <w:tab w:val="right" w:pos="2400"/>
              <w:tab w:val="right" w:leader="dot" w:pos="10190"/>
            </w:tabs>
            <w:rPr>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_Toc5440 </w:instrText>
          </w:r>
          <w:r>
            <w:rPr>
              <w:rFonts w:hint="eastAsia" w:ascii="仿宋_GB2312" w:hAnsi="仿宋_GB2312" w:eastAsia="仿宋_GB2312" w:cs="仿宋_GB2312"/>
              <w:sz w:val="32"/>
              <w:szCs w:val="32"/>
            </w:rPr>
            <w:fldChar w:fldCharType="separate"/>
          </w:r>
          <w:r>
            <w:rPr>
              <w:rFonts w:hint="eastAsia"/>
              <w:sz w:val="32"/>
              <w:szCs w:val="32"/>
            </w:rPr>
            <w:t>党建带群建</w:t>
          </w:r>
          <w:r>
            <w:rPr>
              <w:rFonts w:hint="eastAsia"/>
              <w:sz w:val="32"/>
              <w:szCs w:val="32"/>
            </w:rPr>
            <w:tab/>
          </w:r>
          <w:r>
            <w:rPr>
              <w:rFonts w:hint="eastAsia"/>
              <w:sz w:val="32"/>
              <w:szCs w:val="32"/>
            </w:rPr>
            <w:t>双向同共建</w:t>
          </w:r>
          <w:r>
            <w:rPr>
              <w:sz w:val="32"/>
              <w:szCs w:val="32"/>
            </w:rPr>
            <w:tab/>
          </w:r>
          <w:r>
            <w:rPr>
              <w:sz w:val="32"/>
              <w:szCs w:val="32"/>
            </w:rPr>
            <w:fldChar w:fldCharType="begin"/>
          </w:r>
          <w:r>
            <w:rPr>
              <w:sz w:val="32"/>
              <w:szCs w:val="32"/>
            </w:rPr>
            <w:instrText xml:space="preserve"> PAGEREF _Toc5440 \h </w:instrText>
          </w:r>
          <w:r>
            <w:rPr>
              <w:sz w:val="32"/>
              <w:szCs w:val="32"/>
            </w:rPr>
            <w:fldChar w:fldCharType="separate"/>
          </w:r>
          <w:r>
            <w:rPr>
              <w:sz w:val="32"/>
              <w:szCs w:val="32"/>
            </w:rPr>
            <w:t>24</w:t>
          </w:r>
          <w:r>
            <w:rPr>
              <w:sz w:val="32"/>
              <w:szCs w:val="32"/>
            </w:rPr>
            <w:fldChar w:fldCharType="end"/>
          </w:r>
          <w:r>
            <w:rPr>
              <w:rFonts w:hint="eastAsia" w:ascii="仿宋_GB2312" w:hAnsi="仿宋_GB2312" w:eastAsia="仿宋_GB2312" w:cs="仿宋_GB2312"/>
              <w:sz w:val="32"/>
              <w:szCs w:val="32"/>
            </w:rPr>
            <w:fldChar w:fldCharType="end"/>
          </w:r>
        </w:p>
        <w:p>
          <w:pPr>
            <w:pStyle w:val="3"/>
            <w:tabs>
              <w:tab w:val="left" w:pos="1553"/>
            </w:tabs>
            <w:spacing w:before="68"/>
            <w:ind w:left="0" w:leftChars="0" w:right="0" w:rightChars="0" w:firstLine="0" w:firstLineChars="0"/>
            <w:rPr>
              <w:rFonts w:hint="eastAsia" w:ascii="仿宋_GB2312" w:hAnsi="仿宋_GB2312" w:eastAsia="仿宋_GB2312" w:cs="仿宋_GB2312"/>
              <w:sz w:val="32"/>
              <w:szCs w:val="32"/>
            </w:rPr>
            <w:sectPr>
              <w:footerReference r:id="rId7" w:type="default"/>
              <w:pgSz w:w="11910" w:h="16840"/>
              <w:pgMar w:top="1040" w:right="860" w:bottom="660" w:left="860" w:header="0" w:footer="473" w:gutter="0"/>
              <w:pgNumType w:fmt="decimal" w:start="1"/>
              <w:cols w:space="720" w:num="1"/>
            </w:sectPr>
          </w:pPr>
          <w:r>
            <w:rPr>
              <w:rFonts w:hint="eastAsia" w:ascii="仿宋_GB2312" w:hAnsi="仿宋_GB2312" w:eastAsia="仿宋_GB2312" w:cs="仿宋_GB2312"/>
              <w:sz w:val="32"/>
              <w:szCs w:val="32"/>
            </w:rPr>
            <w:fldChar w:fldCharType="end"/>
          </w:r>
        </w:p>
        <w:p>
          <w:pPr>
            <w:pStyle w:val="3"/>
            <w:tabs>
              <w:tab w:val="left" w:pos="1553"/>
            </w:tabs>
            <w:spacing w:before="68"/>
            <w:ind w:left="0" w:leftChars="0" w:right="0" w:rightChars="0" w:firstLine="0" w:firstLineChars="0"/>
            <w:rPr>
              <w:rFonts w:hint="eastAsia" w:ascii="仿宋_GB2312" w:hAnsi="仿宋_GB2312" w:eastAsia="仿宋_GB2312" w:cs="仿宋_GB2312"/>
              <w:sz w:val="32"/>
              <w:szCs w:val="32"/>
              <w:lang w:val="en-US" w:eastAsia="zh-CN" w:bidi="ar-SA"/>
            </w:rPr>
            <w:sectPr>
              <w:footerReference r:id="rId8" w:type="default"/>
              <w:pgSz w:w="11910" w:h="16840"/>
              <w:pgMar w:top="1040" w:right="860" w:bottom="660" w:left="860" w:header="0" w:footer="473" w:gutter="0"/>
              <w:pgNumType w:fmt="decimal" w:start="1"/>
              <w:cols w:space="720" w:num="1"/>
            </w:sectPr>
          </w:pPr>
        </w:p>
        <w:p>
          <w:pPr>
            <w:pStyle w:val="3"/>
            <w:tabs>
              <w:tab w:val="left" w:pos="1553"/>
            </w:tabs>
            <w:spacing w:before="68"/>
            <w:ind w:left="0" w:leftChars="0" w:right="0" w:rightChars="0" w:firstLine="0" w:firstLineChars="0"/>
            <w:rPr>
              <w:sz w:val="32"/>
              <w:szCs w:val="32"/>
            </w:rPr>
          </w:pPr>
        </w:p>
      </w:sdtContent>
    </w:sdt>
    <w:p>
      <w:pPr>
        <w:spacing w:after="0"/>
        <w:ind w:left="0" w:leftChars="0" w:right="0" w:rightChars="0"/>
        <w:rPr>
          <w:rFonts w:ascii="楷体" w:eastAsia="楷体"/>
          <w:color w:val="050100"/>
        </w:rPr>
      </w:pPr>
      <w:r>
        <w:rPr>
          <w:rFonts w:ascii="楷体" w:eastAsia="楷体"/>
          <w:color w:val="050100"/>
        </w:rPr>
        <w:tab/>
      </w:r>
    </w:p>
    <w:p>
      <w:pPr>
        <w:pStyle w:val="2"/>
        <w:bidi w:val="0"/>
        <w:rPr>
          <w:rFonts w:hint="eastAsia"/>
        </w:rPr>
      </w:pPr>
      <w:bookmarkStart w:id="0" w:name="_Toc12485"/>
      <w:r>
        <w:rPr>
          <w:rFonts w:hint="eastAsia"/>
        </w:rPr>
        <w:t>坚持党建引领 彰显人大担当</w:t>
      </w:r>
      <w:bookmarkEnd w:id="0"/>
    </w:p>
    <w:p>
      <w:pPr>
        <w:spacing w:before="0" w:line="689" w:lineRule="exact"/>
        <w:ind w:left="0" w:right="0" w:firstLine="0"/>
        <w:jc w:val="center"/>
        <w:rPr>
          <w:rFonts w:hint="eastAsia" w:ascii="方正小标宋_GBK" w:eastAsia="方正小标宋_GBK"/>
          <w:color w:val="231F20"/>
          <w:spacing w:val="-1"/>
          <w:sz w:val="44"/>
        </w:rPr>
      </w:pPr>
    </w:p>
    <w:p>
      <w:pPr>
        <w:pStyle w:val="3"/>
        <w:spacing w:before="291" w:line="350" w:lineRule="auto"/>
        <w:ind w:right="267" w:firstLine="623"/>
        <w:jc w:val="both"/>
      </w:pPr>
      <w:r>
        <w:rPr>
          <w:b/>
          <w:bCs/>
          <w:color w:val="050100"/>
          <w:spacing w:val="-2"/>
        </w:rPr>
        <w:t>【引言】</w:t>
      </w:r>
      <w:r>
        <w:rPr>
          <w:color w:val="050100"/>
          <w:spacing w:val="-2"/>
        </w:rPr>
        <w:t>加强和改进人大机关党的建设，对于坚持党的领导、人民当家作主和依法治国有机统一，充分发挥人大常委会职能作用，推进民主法治建设具有重要意义。近年来，昆明市人大常委会党组紧扣 “四个机关”定位要求，践行党建引领、人民至上理念，围绕全市经济社会发展大局，积极探索地方人大机关党建工作新路径，推动党建与业务融合互进、同频共振，用高质量党建之笔绘就人大工作高质量发展新画卷。</w:t>
      </w:r>
    </w:p>
    <w:p>
      <w:pPr>
        <w:pStyle w:val="3"/>
        <w:spacing w:before="10" w:line="350" w:lineRule="auto"/>
        <w:ind w:right="267" w:firstLine="623"/>
        <w:jc w:val="both"/>
      </w:pPr>
      <w:r>
        <w:rPr>
          <w:b/>
          <w:bCs/>
          <w:color w:val="050100"/>
          <w:spacing w:val="-2"/>
        </w:rPr>
        <w:t>【摘要】</w:t>
      </w:r>
      <w:r>
        <w:rPr>
          <w:color w:val="050100"/>
          <w:spacing w:val="-2"/>
        </w:rPr>
        <w:t>立足落实新时代党的建设总要求，深入总结提炼昆明市人大常委会机关在坚持党建引领、彰显人大担当方面的创新实践，从 “坚持政治统领，培根铸魂强引力”“坚持特色推进，守正创新注活力”“坚持夯实基础，强基固本聚合力”“坚持从严从实，正风肃纪稳定力”“坚持融合发展，履责共振提效力”五个方面全面阐述了昆明市人大常委会机关党建工作基本做法，总结了“坚持党的领导是前提”“筑牢基层基础是重点”“推动双融双促是关键”“落实党建责任是保障”四个方面的经验启示，并附有专家点评。</w:t>
      </w:r>
    </w:p>
    <w:p>
      <w:pPr>
        <w:pStyle w:val="3"/>
        <w:spacing w:before="11"/>
        <w:ind w:left="897"/>
      </w:pPr>
      <w:r>
        <w:rPr>
          <w:b/>
          <w:bCs/>
          <w:color w:val="050100"/>
          <w:spacing w:val="-1"/>
        </w:rPr>
        <w:t>【关键词】</w:t>
      </w:r>
      <w:r>
        <w:rPr>
          <w:color w:val="050100"/>
          <w:spacing w:val="-1"/>
        </w:rPr>
        <w:t>机关党建、“四个机关”、党建与业务融合</w:t>
      </w:r>
    </w:p>
    <w:p>
      <w:pPr>
        <w:pStyle w:val="3"/>
        <w:spacing w:before="190"/>
        <w:ind w:left="897"/>
        <w:rPr>
          <w:b/>
          <w:bCs/>
        </w:rPr>
      </w:pPr>
      <w:r>
        <w:rPr>
          <w:b/>
          <w:bCs/>
          <w:color w:val="050100"/>
          <w:spacing w:val="-2"/>
        </w:rPr>
        <w:t>【案例正文】</w:t>
      </w:r>
    </w:p>
    <w:p>
      <w:pPr>
        <w:pStyle w:val="3"/>
        <w:spacing w:before="166"/>
        <w:ind w:left="954"/>
        <w:outlineLvl w:val="0"/>
        <w:rPr>
          <w:rFonts w:ascii="黑体" w:eastAsia="黑体"/>
        </w:rPr>
      </w:pPr>
      <w:bookmarkStart w:id="1" w:name="_Toc1808"/>
      <w:bookmarkStart w:id="2" w:name="_Toc24578"/>
      <w:r>
        <w:rPr>
          <w:rFonts w:ascii="黑体" w:eastAsia="黑体"/>
          <w:color w:val="050100"/>
          <w:spacing w:val="-2"/>
        </w:rPr>
        <w:t>一、基本概况</w:t>
      </w:r>
      <w:bookmarkEnd w:id="1"/>
      <w:bookmarkEnd w:id="2"/>
    </w:p>
    <w:p>
      <w:pPr>
        <w:pStyle w:val="3"/>
        <w:spacing w:before="228" w:line="350" w:lineRule="auto"/>
        <w:ind w:right="265" w:firstLine="623"/>
        <w:jc w:val="both"/>
      </w:pPr>
      <w:r>
        <w:rPr>
          <w:color w:val="050100"/>
          <w:spacing w:val="-2"/>
        </w:rPr>
        <w:t>昆明市人大常委会设有常委会党组、机关党组、机关党委和党支</w:t>
      </w:r>
      <w:r>
        <w:rPr>
          <w:color w:val="050100"/>
        </w:rPr>
        <w:t>部等四级党建责任体系，常委会机关下设 11</w:t>
      </w:r>
      <w:r>
        <w:rPr>
          <w:color w:val="050100"/>
          <w:spacing w:val="-1"/>
        </w:rPr>
        <w:t xml:space="preserve"> 个党支部，其中在职党</w:t>
      </w:r>
    </w:p>
    <w:p>
      <w:pPr>
        <w:pStyle w:val="3"/>
        <w:spacing w:before="31" w:line="350" w:lineRule="auto"/>
        <w:ind w:right="268"/>
        <w:jc w:val="both"/>
      </w:pPr>
      <w:r>
        <w:rPr>
          <w:color w:val="050100"/>
          <w:spacing w:val="-35"/>
        </w:rPr>
        <w:t xml:space="preserve">支部 </w:t>
      </w:r>
      <w:r>
        <w:rPr>
          <w:color w:val="050100"/>
        </w:rPr>
        <w:t>8</w:t>
      </w:r>
      <w:r>
        <w:rPr>
          <w:color w:val="050100"/>
          <w:spacing w:val="-32"/>
        </w:rPr>
        <w:t xml:space="preserve"> 个，离退休党支部 </w:t>
      </w:r>
      <w:r>
        <w:rPr>
          <w:color w:val="050100"/>
        </w:rPr>
        <w:t>3</w:t>
      </w:r>
      <w:r>
        <w:rPr>
          <w:color w:val="050100"/>
          <w:spacing w:val="-40"/>
        </w:rPr>
        <w:t xml:space="preserve"> 个。现有党员 </w:t>
      </w:r>
      <w:r>
        <w:rPr>
          <w:color w:val="050100"/>
        </w:rPr>
        <w:t>216</w:t>
      </w:r>
      <w:r>
        <w:rPr>
          <w:color w:val="050100"/>
          <w:spacing w:val="-32"/>
        </w:rPr>
        <w:t xml:space="preserve"> 名，其中在职党员 </w:t>
      </w:r>
      <w:r>
        <w:rPr>
          <w:color w:val="050100"/>
        </w:rPr>
        <w:t>106</w:t>
      </w:r>
      <w:r>
        <w:rPr>
          <w:color w:val="050100"/>
          <w:spacing w:val="-38"/>
        </w:rPr>
        <w:t xml:space="preserve"> 人，</w:t>
      </w:r>
      <w:r>
        <w:rPr>
          <w:color w:val="050100"/>
          <w:spacing w:val="-8"/>
        </w:rPr>
        <w:t xml:space="preserve">离退休党员 </w:t>
      </w:r>
      <w:r>
        <w:rPr>
          <w:color w:val="050100"/>
          <w:spacing w:val="-2"/>
        </w:rPr>
        <w:t>110</w:t>
      </w:r>
      <w:r>
        <w:rPr>
          <w:color w:val="050100"/>
          <w:spacing w:val="-8"/>
        </w:rPr>
        <w:t xml:space="preserve"> 人。长期以来，市人大常委会坚决落实新时代党的建</w:t>
      </w:r>
      <w:r>
        <w:rPr>
          <w:color w:val="050100"/>
          <w:spacing w:val="-2"/>
        </w:rPr>
        <w:t>设总要求，着力在坚持党建引领、彰显人大担当上拓展新思路、寻找新突破，把党的政治优势、组织优势、密切联系群众优势，转化为推动人大工作的强劲动能和显著效能。</w:t>
      </w:r>
    </w:p>
    <w:p>
      <w:pPr>
        <w:pStyle w:val="3"/>
        <w:spacing w:before="1"/>
        <w:ind w:left="954"/>
        <w:outlineLvl w:val="0"/>
        <w:rPr>
          <w:rFonts w:ascii="黑体" w:eastAsia="黑体"/>
        </w:rPr>
      </w:pPr>
      <w:bookmarkStart w:id="3" w:name="_Toc5860"/>
      <w:bookmarkStart w:id="4" w:name="_Toc15841"/>
      <w:r>
        <w:rPr>
          <w:rFonts w:ascii="黑体" w:eastAsia="黑体"/>
          <w:color w:val="050100"/>
          <w:spacing w:val="-2"/>
        </w:rPr>
        <w:t>二、主要做法</w:t>
      </w:r>
      <w:bookmarkEnd w:id="3"/>
      <w:bookmarkEnd w:id="4"/>
    </w:p>
    <w:p>
      <w:pPr>
        <w:pStyle w:val="3"/>
        <w:spacing w:before="227"/>
        <w:ind w:left="897"/>
        <w:rPr>
          <w:rFonts w:hint="eastAsia" w:ascii="楷体_GB2312" w:eastAsia="楷体_GB2312"/>
        </w:rPr>
      </w:pPr>
      <w:r>
        <w:rPr>
          <w:rFonts w:hint="eastAsia" w:ascii="楷体_GB2312" w:eastAsia="楷体_GB2312"/>
          <w:color w:val="050100"/>
        </w:rPr>
        <w:t>（一）</w:t>
      </w:r>
      <w:r>
        <w:rPr>
          <w:rFonts w:hint="eastAsia" w:ascii="楷体_GB2312" w:eastAsia="楷体_GB2312"/>
          <w:color w:val="050100"/>
          <w:spacing w:val="-1"/>
        </w:rPr>
        <w:t>坚</w:t>
      </w:r>
      <w:bookmarkStart w:id="36" w:name="_GoBack"/>
      <w:bookmarkEnd w:id="36"/>
      <w:r>
        <w:rPr>
          <w:rFonts w:hint="eastAsia" w:ascii="楷体_GB2312" w:eastAsia="楷体_GB2312"/>
          <w:color w:val="050100"/>
          <w:spacing w:val="-1"/>
        </w:rPr>
        <w:t>持政治统领，培根铸魂强引力</w:t>
      </w:r>
    </w:p>
    <w:p>
      <w:pPr>
        <w:pStyle w:val="3"/>
        <w:spacing w:before="190" w:line="350" w:lineRule="auto"/>
        <w:ind w:right="267" w:firstLine="623"/>
        <w:jc w:val="both"/>
      </w:pPr>
      <w:r>
        <w:rPr>
          <w:b/>
          <w:bCs/>
          <w:color w:val="050100"/>
          <w:spacing w:val="-2"/>
        </w:rPr>
        <w:t>一是加强党对人大工作的全面领导。</w:t>
      </w:r>
      <w:r>
        <w:rPr>
          <w:color w:val="050100"/>
          <w:spacing w:val="-2"/>
        </w:rPr>
        <w:t>以习近平新时代中国特色社会主义思想为指导，以党的政治建设为统领，不断坚持和加强党的全面领导，深刻领悟“两个确立”的决定性意义，增强“四个意识”、坚定“四个自信”、做到“两个维护”。强化理论武装，把党的创新理论作为党组学习第一议题、党支部“三会一课”第一主题、人大代表和人大干部培训第一课程，筑牢人大机关工作思想政治根基，切实提高运用党的创新理论指导实践、推动工作的能力。</w:t>
      </w:r>
    </w:p>
    <w:p>
      <w:pPr>
        <w:pStyle w:val="3"/>
        <w:spacing w:before="10" w:line="350" w:lineRule="auto"/>
        <w:ind w:right="111" w:firstLine="623"/>
      </w:pPr>
      <w:r>
        <w:rPr>
          <w:b/>
          <w:bCs/>
          <w:color w:val="050100"/>
          <w:spacing w:val="-9"/>
        </w:rPr>
        <w:t>二是着力夯实人民至上的政治根基。</w:t>
      </w:r>
      <w:r>
        <w:rPr>
          <w:color w:val="050100"/>
          <w:spacing w:val="-9"/>
        </w:rPr>
        <w:t>坚持国家一切权力属于人民，</w:t>
      </w:r>
      <w:r>
        <w:rPr>
          <w:color w:val="050100"/>
          <w:spacing w:val="-2"/>
        </w:rPr>
        <w:t>坚持和完善人大会议制度、议事程序和工作机制，在立法、监督、代表工作中做好民主选举、民主决策、民主管理等工作，努力在更大范</w:t>
      </w:r>
      <w:r>
        <w:rPr>
          <w:color w:val="050100"/>
          <w:spacing w:val="-6"/>
        </w:rPr>
        <w:t>围、更深层次、更高水平上践行全过程人民民主。尊重人民首创精神，健全吸纳民意、汇集民智的工作机制，让人民群众的知情权、参与权、</w:t>
      </w:r>
      <w:r>
        <w:rPr>
          <w:color w:val="050100"/>
          <w:spacing w:val="-2"/>
        </w:rPr>
        <w:t>表达权、监督权落实到人大工作各方面全过程，在全省率先制定惠民实事人大代表票决制实施办法，推动民生实事项目由“为民作主”向 “由民作主”转变。</w:t>
      </w:r>
    </w:p>
    <w:p>
      <w:pPr>
        <w:pStyle w:val="3"/>
        <w:spacing w:before="11" w:line="350" w:lineRule="auto"/>
        <w:ind w:right="269" w:firstLine="623"/>
        <w:jc w:val="both"/>
      </w:pPr>
      <w:r>
        <w:rPr>
          <w:b/>
          <w:bCs/>
          <w:color w:val="050100"/>
          <w:spacing w:val="-2"/>
        </w:rPr>
        <w:t>三是全面落实全面从严治党新要求。</w:t>
      </w:r>
      <w:r>
        <w:rPr>
          <w:color w:val="050100"/>
          <w:spacing w:val="-2"/>
        </w:rPr>
        <w:t>始终把全面从严治党作为最根本的政治责任，发扬彻底的革命精神，严明党的政治纪律和政治规</w:t>
      </w:r>
      <w:r>
        <w:rPr>
          <w:color w:val="050100"/>
          <w:spacing w:val="-1"/>
        </w:rPr>
        <w:t>矩，联系实际、紧扣职责，切实把全面从严治党要求落实到抓好机关</w:t>
      </w:r>
    </w:p>
    <w:p>
      <w:pPr>
        <w:spacing w:after="0" w:line="350" w:lineRule="auto"/>
        <w:jc w:val="both"/>
        <w:sectPr>
          <w:footerReference r:id="rId9" w:type="default"/>
          <w:pgSz w:w="11910" w:h="16840"/>
          <w:pgMar w:top="1040" w:right="860" w:bottom="660" w:left="860" w:header="0" w:footer="473" w:gutter="0"/>
          <w:pgNumType w:fmt="decimal" w:start="1"/>
          <w:cols w:space="720" w:num="1"/>
        </w:sectPr>
      </w:pPr>
    </w:p>
    <w:p>
      <w:pPr>
        <w:pStyle w:val="3"/>
        <w:spacing w:before="31"/>
        <w:ind w:left="897"/>
      </w:pPr>
      <w:r>
        <w:rPr>
          <w:color w:val="050100"/>
          <w:spacing w:val="-1"/>
        </w:rPr>
        <w:t>党务、服务人大政务、管理机关事务的全过程、各方面。</w:t>
      </w:r>
    </w:p>
    <w:p>
      <w:pPr>
        <w:pStyle w:val="3"/>
        <w:spacing w:before="190"/>
        <w:ind w:left="897"/>
        <w:rPr>
          <w:rFonts w:hint="eastAsia" w:ascii="楷体_GB2312" w:eastAsia="楷体_GB2312"/>
        </w:rPr>
      </w:pPr>
      <w:r>
        <w:rPr>
          <w:rFonts w:hint="eastAsia" w:ascii="楷体_GB2312" w:eastAsia="楷体_GB2312"/>
          <w:color w:val="050100"/>
        </w:rPr>
        <w:t>（二）</w:t>
      </w:r>
      <w:r>
        <w:rPr>
          <w:rFonts w:hint="eastAsia" w:ascii="楷体_GB2312" w:eastAsia="楷体_GB2312"/>
          <w:color w:val="050100"/>
          <w:spacing w:val="-1"/>
        </w:rPr>
        <w:t>坚持特色推进，守正创新注活力</w:t>
      </w:r>
    </w:p>
    <w:p>
      <w:pPr>
        <w:pStyle w:val="3"/>
        <w:spacing w:before="190" w:line="350" w:lineRule="auto"/>
        <w:ind w:right="111" w:firstLine="623"/>
      </w:pPr>
      <w:r>
        <w:rPr>
          <w:b/>
          <w:bCs/>
          <w:color w:val="050100"/>
          <w:spacing w:val="-12"/>
        </w:rPr>
        <w:t>一是推动理念创新。</w:t>
      </w:r>
      <w:r>
        <w:rPr>
          <w:color w:val="050100"/>
          <w:spacing w:val="-12"/>
        </w:rPr>
        <w:t>深刻把握新时代人大机关党建工作规律特点，</w:t>
      </w:r>
      <w:r>
        <w:rPr>
          <w:color w:val="050100"/>
          <w:spacing w:val="-2"/>
        </w:rPr>
        <w:t>聚焦“灯下黑”“两张皮”等机关党建老大难问题，毫不动摇坚持党的全面领导这个“风向标”，拧紧理想信念这个“总开关”，牵住党建责任制这个“牛鼻子”，抓住提升组织力这个“关键点”，做好党</w:t>
      </w:r>
      <w:r>
        <w:rPr>
          <w:color w:val="050100"/>
          <w:spacing w:val="-25"/>
        </w:rPr>
        <w:t>建与业务深度融合这篇“大文章”，用好党员群众满意这个“度量衡”。</w:t>
      </w:r>
      <w:r>
        <w:rPr>
          <w:color w:val="050100"/>
          <w:spacing w:val="-9"/>
        </w:rPr>
        <w:t>围绕提高机关党的建设质量的要求，处理好共性和个性、党建和业务、</w:t>
      </w:r>
      <w:r>
        <w:rPr>
          <w:color w:val="050100"/>
          <w:spacing w:val="-2"/>
        </w:rPr>
        <w:t>目标引领和问题导向、建章立制和落地见效、继承和创新的关系，着力提高党建工作的针对性、实效性和创造性。</w:t>
      </w:r>
    </w:p>
    <w:p>
      <w:pPr>
        <w:pStyle w:val="3"/>
        <w:spacing w:before="11" w:line="350" w:lineRule="auto"/>
        <w:ind w:right="111" w:firstLine="623"/>
      </w:pPr>
      <w:r>
        <w:rPr>
          <w:b/>
          <w:bCs/>
          <w:color w:val="050100"/>
          <w:spacing w:val="-4"/>
        </w:rPr>
        <w:t>二是推动载体创新。</w:t>
      </w:r>
      <w:r>
        <w:rPr>
          <w:color w:val="050100"/>
          <w:spacing w:val="-4"/>
        </w:rPr>
        <w:t>机关创建“倾听民声、反映民意，汇聚民智、</w:t>
      </w:r>
      <w:r>
        <w:rPr>
          <w:color w:val="050100"/>
        </w:rPr>
        <w:t>服务民生”具有人大特质的党建品牌，8</w:t>
      </w:r>
      <w:r>
        <w:rPr>
          <w:color w:val="050100"/>
          <w:spacing w:val="-7"/>
        </w:rPr>
        <w:t xml:space="preserve"> 个在职党支部结合业务创建</w:t>
      </w:r>
      <w:r>
        <w:rPr>
          <w:color w:val="050100"/>
          <w:spacing w:val="-16"/>
        </w:rPr>
        <w:t>支部特色品牌，形成</w:t>
      </w:r>
      <w:r>
        <w:rPr>
          <w:color w:val="050100"/>
        </w:rPr>
        <w:t>“1</w:t>
      </w:r>
      <w:r>
        <w:rPr>
          <w:color w:val="050100"/>
          <w:spacing w:val="-26"/>
        </w:rPr>
        <w:t xml:space="preserve"> 架马车、</w:t>
      </w:r>
      <w:r>
        <w:rPr>
          <w:color w:val="050100"/>
        </w:rPr>
        <w:t>8</w:t>
      </w:r>
      <w:r>
        <w:rPr>
          <w:color w:val="050100"/>
          <w:spacing w:val="-19"/>
        </w:rPr>
        <w:t xml:space="preserve"> 个轮子”党建品牌体系，实现了“一</w:t>
      </w:r>
      <w:r>
        <w:rPr>
          <w:color w:val="050100"/>
          <w:spacing w:val="-2"/>
        </w:rPr>
        <w:t>机关一品牌、一支部一特色”。打造“六区六室”的党建文化长廊，拍摄老党员党史讲述专题片，建立党史党建陈列室，创新“党建 + 代</w:t>
      </w:r>
      <w:r>
        <w:rPr>
          <w:color w:val="050100"/>
          <w:spacing w:val="-14"/>
        </w:rPr>
        <w:t>表 + 业务 + 群团”的人大机关党建文化模式。探索开放式党建机制，</w:t>
      </w:r>
      <w:r>
        <w:rPr>
          <w:color w:val="050100"/>
          <w:spacing w:val="-2"/>
        </w:rPr>
        <w:t>打破地域、时空的界限和党组织间的壁垒，促进党建各种要素间的流动，结合代表活动阵地、专业代表工作站、基层立法联系点建设，打造党建促业务一线实践阵地和为民实践阵地。</w:t>
      </w:r>
    </w:p>
    <w:p>
      <w:pPr>
        <w:pStyle w:val="3"/>
        <w:spacing w:before="13" w:line="350" w:lineRule="auto"/>
        <w:ind w:right="111" w:firstLine="623"/>
      </w:pPr>
      <w:r>
        <w:rPr>
          <w:b/>
          <w:bCs/>
          <w:color w:val="050100"/>
          <w:spacing w:val="-11"/>
        </w:rPr>
        <w:t>三是推动方法创新。</w:t>
      </w:r>
      <w:r>
        <w:rPr>
          <w:color w:val="050100"/>
          <w:spacing w:val="-11"/>
        </w:rPr>
        <w:t>坚持以大格局开展党建工作，注重辐射传导，</w:t>
      </w:r>
      <w:r>
        <w:rPr>
          <w:color w:val="050100"/>
          <w:spacing w:val="-2"/>
        </w:rPr>
        <w:t>构建起“党组织负责人向组织成员、上级党组织向下级党组织、组织</w:t>
      </w:r>
      <w:r>
        <w:rPr>
          <w:color w:val="050100"/>
          <w:spacing w:val="-6"/>
        </w:rPr>
        <w:t>向党员、人大机关向人大代表、党组织向群团组织、党员向家庭成员”</w:t>
      </w:r>
      <w:r>
        <w:rPr>
          <w:color w:val="050100"/>
          <w:spacing w:val="-2"/>
        </w:rPr>
        <w:t>等带动机制。抓牢“责任”关键，落实压实工作，形成“高位统筹、</w:t>
      </w:r>
      <w:r>
        <w:rPr>
          <w:color w:val="050100"/>
          <w:spacing w:val="-6"/>
        </w:rPr>
        <w:t>示范引领、环环相扣、形成合力”的责任工作法。突出“融合”思想，</w:t>
      </w:r>
    </w:p>
    <w:p>
      <w:pPr>
        <w:spacing w:after="0" w:line="350" w:lineRule="auto"/>
        <w:sectPr>
          <w:pgSz w:w="11910" w:h="16840"/>
          <w:pgMar w:top="1040" w:right="860" w:bottom="660" w:left="860" w:header="0" w:footer="473" w:gutter="0"/>
          <w:pgNumType w:fmt="decimal"/>
          <w:cols w:space="720" w:num="1"/>
        </w:sectPr>
      </w:pPr>
    </w:p>
    <w:p>
      <w:pPr>
        <w:pStyle w:val="3"/>
        <w:spacing w:before="31" w:line="350" w:lineRule="auto"/>
        <w:ind w:right="267"/>
        <w:jc w:val="both"/>
      </w:pPr>
      <w:r>
        <w:rPr>
          <w:color w:val="050100"/>
          <w:spacing w:val="-2"/>
        </w:rPr>
        <w:t>推动各级党组织之间上下交融、党建工作和业务工作之间相融互促，形成“润物无声、全面交融，文化助推、特色推进”的推动工作法。坚持“统筹”思路，以系统思维出发谋篇布局，从细节事项入手真抓实干，形成“明晰框架、注重实招、大处着眼、小处入手”的系统工作法。树牢“全面”，严格精准到位，体现全面从严要求，构建“全员参与、全程控制、全面覆盖、全部关联”的考核工作法。</w:t>
      </w:r>
    </w:p>
    <w:p>
      <w:pPr>
        <w:pStyle w:val="3"/>
        <w:spacing w:before="8"/>
        <w:ind w:left="897"/>
        <w:rPr>
          <w:rFonts w:ascii="楷体" w:eastAsia="楷体"/>
        </w:rPr>
      </w:pPr>
      <w:r>
        <w:rPr>
          <w:rFonts w:ascii="楷体" w:eastAsia="楷体"/>
          <w:color w:val="050100"/>
        </w:rPr>
        <w:t>（三）</w:t>
      </w:r>
      <w:r>
        <w:rPr>
          <w:rFonts w:ascii="楷体" w:eastAsia="楷体"/>
          <w:color w:val="050100"/>
          <w:spacing w:val="-1"/>
        </w:rPr>
        <w:t>坚持夯实基础，强基固本聚合力</w:t>
      </w:r>
    </w:p>
    <w:p>
      <w:pPr>
        <w:pStyle w:val="3"/>
        <w:spacing w:before="190" w:line="350" w:lineRule="auto"/>
        <w:ind w:right="258" w:firstLine="623"/>
        <w:jc w:val="both"/>
      </w:pPr>
      <w:r>
        <w:rPr>
          <w:b/>
          <w:bCs/>
          <w:color w:val="050100"/>
          <w:spacing w:val="-2"/>
        </w:rPr>
        <w:t>一是巩固夯实组织基础。</w:t>
      </w:r>
      <w:r>
        <w:rPr>
          <w:color w:val="050100"/>
          <w:spacing w:val="-2"/>
        </w:rPr>
        <w:t>坚持抓两头带中间，增加先进支部、提</w:t>
      </w:r>
      <w:r>
        <w:rPr>
          <w:color w:val="050100"/>
        </w:rPr>
        <w:t>升中间支部，实现了党支部规范化建设达标率 100%。积极探索开放</w:t>
      </w:r>
      <w:r>
        <w:rPr>
          <w:color w:val="050100"/>
          <w:spacing w:val="-2"/>
        </w:rPr>
        <w:t>式主题党日、“双报到双服务双报告”、结对帮扶、文明创建、红色教育、支部联建共建等活动，实施开展微党课、举办微讲座、完成微</w:t>
      </w:r>
      <w:r>
        <w:rPr>
          <w:color w:val="050100"/>
          <w:spacing w:val="-10"/>
        </w:rPr>
        <w:t>心愿、提倡微奉献“四微”行动，做到了活动扎实有效。认真落实“三</w:t>
      </w:r>
      <w:r>
        <w:rPr>
          <w:color w:val="050100"/>
          <w:spacing w:val="-2"/>
        </w:rPr>
        <w:t>会一课”、组织生活会、民主评议党员、主题党日活动、领导干部过双重组织生活等基本制度，不断创新组织生活的形式和内容，持续提升党内政治生活的政治性、时代性、原则性、战斗性。</w:t>
      </w:r>
    </w:p>
    <w:p>
      <w:pPr>
        <w:pStyle w:val="3"/>
        <w:spacing w:before="11" w:line="350" w:lineRule="auto"/>
        <w:ind w:right="268" w:firstLine="623"/>
        <w:jc w:val="both"/>
      </w:pPr>
      <w:r>
        <w:rPr>
          <w:b/>
          <w:bCs/>
          <w:color w:val="050100"/>
          <w:spacing w:val="-2"/>
        </w:rPr>
        <w:t>二是提升强化队伍建设。</w:t>
      </w:r>
      <w:r>
        <w:rPr>
          <w:color w:val="050100"/>
          <w:spacing w:val="-2"/>
        </w:rPr>
        <w:t>按照习近平总书记对队伍建设的要求，打造“政治坚定、服务人民、尊崇法治、发扬民主、勤勉尽责”的人大工作队伍。党员干部充分发挥昂扬奋发的精神状态，拿出担当务实的工作作风，聚精会神搞建设、一心一意谋发展，踔厉奋发、勇挑重担，争当以改革思维和创新举措开展工作、推动发展的“实干家”。以支部书记队伍建设为重点，把党务工作岗位作为培养锻炼干部的重要平台，注重把既熟悉业务工作又热爱党务工作的优秀干部特别是年轻同志充实到党务干部队伍中来，持续推进部门主要负责同志兼任党</w:t>
      </w:r>
      <w:r>
        <w:rPr>
          <w:color w:val="050100"/>
          <w:spacing w:val="-1"/>
        </w:rPr>
        <w:t>组织书记。不断加大教育培训力度，大力开展新任党支部书记的岗前</w:t>
      </w:r>
    </w:p>
    <w:p>
      <w:pPr>
        <w:spacing w:after="0" w:line="350" w:lineRule="auto"/>
        <w:jc w:val="both"/>
        <w:sectPr>
          <w:pgSz w:w="11910" w:h="16840"/>
          <w:pgMar w:top="1040" w:right="860" w:bottom="660" w:left="860" w:header="0" w:footer="473" w:gutter="0"/>
          <w:pgNumType w:fmt="decimal"/>
          <w:cols w:space="720" w:num="1"/>
        </w:sectPr>
      </w:pPr>
    </w:p>
    <w:p>
      <w:pPr>
        <w:pStyle w:val="3"/>
        <w:spacing w:before="31" w:line="350" w:lineRule="auto"/>
        <w:ind w:right="268"/>
        <w:jc w:val="both"/>
      </w:pPr>
      <w:r>
        <w:rPr>
          <w:color w:val="050100"/>
          <w:spacing w:val="-2"/>
        </w:rPr>
        <w:t>培训，推动党务干部培训实现全覆盖，增强培训的针对性和实操性，将其培养成为政治上的明白人、党建工作的内行人、干部职工的贴心人，努力干出一流业绩。以党务干部带动普通党员，全面加强党员队伍建设，设立党员责任区、党员先锋岗、党员攻关小组，推动党员带头学习党的创新理论成果，带头落实党中央部署要求，带头坚决服从组织安排，带头承担急难险重任务，带头站到重大斗争第一线。</w:t>
      </w:r>
    </w:p>
    <w:p>
      <w:pPr>
        <w:pStyle w:val="3"/>
        <w:spacing w:before="8" w:line="350" w:lineRule="auto"/>
        <w:ind w:right="267" w:firstLine="623"/>
        <w:jc w:val="both"/>
      </w:pPr>
      <w:r>
        <w:rPr>
          <w:b/>
          <w:bCs/>
          <w:color w:val="050100"/>
          <w:spacing w:val="-2"/>
        </w:rPr>
        <w:t>三是推深做实党群共建。</w:t>
      </w:r>
      <w:r>
        <w:rPr>
          <w:color w:val="050100"/>
          <w:spacing w:val="-2"/>
        </w:rPr>
        <w:t>不断完善基层工会组织设置，巩固依托党支部设立的工会小组作为工建“经线”，创新依托职工兴趣爱好建立工会兴趣小组作为工建“纬线”，促使基层工会组织努力实现“五个好”要求。完善青委会定期向机关党委汇报工作和活动信息季度报送等工作机制，创建“学雷锋日”志愿服务活动、清明节“网上祭英烈”、“五四青年节”纪念等三大常态化品牌，将“青年大学习”、 “青年读书会”等契入到党建活动中，努力发挥青年突击队和生力军作用。开展“我们的节日”活动，最大限度调动巾帼力量的积极性主动性创造性，配合机关党委组织开展廉洁家庭警示教育活动，进一步提升领导干部家庭以德齐家、以廉保家意识。</w:t>
      </w:r>
    </w:p>
    <w:p>
      <w:pPr>
        <w:pStyle w:val="3"/>
        <w:spacing w:before="14"/>
        <w:ind w:left="897"/>
        <w:rPr>
          <w:rFonts w:hint="eastAsia" w:ascii="楷体_GB2312" w:eastAsia="楷体_GB2312"/>
        </w:rPr>
      </w:pPr>
      <w:r>
        <w:rPr>
          <w:rFonts w:hint="eastAsia" w:ascii="楷体_GB2312" w:eastAsia="楷体_GB2312"/>
          <w:color w:val="050100"/>
        </w:rPr>
        <w:t>（四）</w:t>
      </w:r>
      <w:r>
        <w:rPr>
          <w:rFonts w:hint="eastAsia" w:ascii="楷体_GB2312" w:eastAsia="楷体_GB2312"/>
          <w:color w:val="050100"/>
          <w:spacing w:val="-1"/>
        </w:rPr>
        <w:t>坚持从严从实，正风肃纪稳定力</w:t>
      </w:r>
    </w:p>
    <w:p>
      <w:pPr>
        <w:pStyle w:val="3"/>
        <w:spacing w:before="190" w:line="350" w:lineRule="auto"/>
        <w:ind w:right="111" w:firstLine="623"/>
        <w:jc w:val="both"/>
      </w:pPr>
      <w:r>
        <w:rPr>
          <w:b/>
          <w:bCs/>
          <w:color w:val="050100"/>
          <w:spacing w:val="-2"/>
        </w:rPr>
        <w:t>一是严守纪律“高压线”。</w:t>
      </w:r>
      <w:r>
        <w:rPr>
          <w:color w:val="050100"/>
          <w:spacing w:val="-2"/>
        </w:rPr>
        <w:t>开展党章党规党纪学习教育，开展经常性警示教育，让党员干部知敬畏、存戒惧、守底线。积极探索构建上级监督更有力、同级监督更直接、下级监督更广泛、各方监督更协同的一体化综合监督体系，常态化开展日常监督。坚持惩前毖后、治</w:t>
      </w:r>
      <w:r>
        <w:rPr>
          <w:color w:val="050100"/>
          <w:spacing w:val="-7"/>
        </w:rPr>
        <w:t>病救人，精准运用监督执纪“四种形态”，注重抓早抓小、防微杜渐。</w:t>
      </w:r>
    </w:p>
    <w:p>
      <w:pPr>
        <w:pStyle w:val="3"/>
        <w:spacing w:before="7" w:line="350" w:lineRule="auto"/>
        <w:ind w:right="268" w:firstLine="623"/>
      </w:pPr>
      <w:r>
        <w:rPr>
          <w:b/>
          <w:bCs/>
          <w:color w:val="050100"/>
          <w:spacing w:val="-2"/>
        </w:rPr>
        <w:t>二是挥好考核“指挥棒”。</w:t>
      </w:r>
      <w:r>
        <w:rPr>
          <w:color w:val="050100"/>
          <w:spacing w:val="-2"/>
        </w:rPr>
        <w:t>优化考核结构内容，细化考核指标体</w:t>
      </w:r>
      <w:r>
        <w:rPr>
          <w:color w:val="050100"/>
          <w:spacing w:val="-1"/>
        </w:rPr>
        <w:t>系，强化考核结果运用，树立考在平时、干在日常的鲜明导向。细化</w:t>
      </w:r>
    </w:p>
    <w:p>
      <w:pPr>
        <w:spacing w:after="0" w:line="350" w:lineRule="auto"/>
        <w:sectPr>
          <w:pgSz w:w="11910" w:h="16840"/>
          <w:pgMar w:top="1040" w:right="860" w:bottom="660" w:left="860" w:header="0" w:footer="473" w:gutter="0"/>
          <w:pgNumType w:fmt="decimal"/>
          <w:cols w:space="720" w:num="1"/>
        </w:sectPr>
      </w:pPr>
    </w:p>
    <w:p>
      <w:pPr>
        <w:pStyle w:val="3"/>
        <w:spacing w:before="31" w:line="350" w:lineRule="auto"/>
        <w:ind w:right="268"/>
        <w:jc w:val="both"/>
      </w:pPr>
      <w:r>
        <w:rPr>
          <w:color w:val="050100"/>
          <w:spacing w:val="-2"/>
        </w:rPr>
        <w:t>分解党建责任，制定重点工作清单、基层党建任务清单、支部书记责任清单，精细化、体系化、项目化推进各项工作，推动党建压力传导到位，以责任制的落实推动机关作风效能建设。</w:t>
      </w:r>
    </w:p>
    <w:p>
      <w:pPr>
        <w:pStyle w:val="3"/>
        <w:spacing w:before="4" w:line="350" w:lineRule="auto"/>
        <w:ind w:right="264" w:firstLine="623"/>
        <w:jc w:val="both"/>
      </w:pPr>
      <w:r>
        <w:rPr>
          <w:b/>
          <w:bCs/>
          <w:color w:val="050100"/>
          <w:spacing w:val="-2"/>
        </w:rPr>
        <w:t>三是奏响效能“最强音”。</w:t>
      </w:r>
      <w:r>
        <w:rPr>
          <w:color w:val="050100"/>
          <w:spacing w:val="-2"/>
        </w:rPr>
        <w:t>大兴调查研究之风，积极践行项目工作法、一线工作法、典型引路法，坚持任务项目化、项目清单化、清单具体化，明确“谁来做、怎么做、何时做、按什么标准做、什么时</w:t>
      </w:r>
      <w:r>
        <w:rPr>
          <w:color w:val="050100"/>
        </w:rPr>
        <w:t>候完成、达到什么效果”等问题。开展“对标先进 争创一流”主题</w:t>
      </w:r>
      <w:r>
        <w:rPr>
          <w:color w:val="050100"/>
          <w:spacing w:val="-2"/>
        </w:rPr>
        <w:t>实践活动，落实市委“当好排头兵”大讨论大竞赛和“整治太平官、争当实干家”要求，将强思想、改作风、提效能措施落实到机关党建中。开展“思想破冰”“理念迭代”“改进方法”“作风转变”“对标争创”“效能竞赛”六个专项活动，在机关形成对标追赶、比学赶超良好氛围。</w:t>
      </w:r>
    </w:p>
    <w:p>
      <w:pPr>
        <w:pStyle w:val="3"/>
        <w:spacing w:before="13" w:line="350" w:lineRule="auto"/>
        <w:ind w:right="267" w:firstLine="623"/>
        <w:jc w:val="both"/>
      </w:pPr>
      <w:r>
        <w:rPr>
          <w:b/>
          <w:bCs/>
          <w:color w:val="050100"/>
          <w:spacing w:val="-2"/>
        </w:rPr>
        <w:t>四是严管厚爱“明赏罚”。</w:t>
      </w:r>
      <w:r>
        <w:rPr>
          <w:color w:val="050100"/>
          <w:spacing w:val="-2"/>
        </w:rPr>
        <w:t>推动精准规范问责，细化责任划分，明确问责情形，健全问责程序，严格约束党员干部言行举止。探索容错纠错机制，为在工作中敢干事的党员干部“兜底”、敢想事的党员干部“撑腰”、敢创新的党员干部“打气”，宽容党员干部在改革创新中的失误，正确对待被问责和受处分的党员干部，进一步激发担当作为干事创业的内生动力。</w:t>
      </w:r>
    </w:p>
    <w:p>
      <w:pPr>
        <w:pStyle w:val="3"/>
        <w:spacing w:before="8"/>
        <w:ind w:left="897"/>
        <w:rPr>
          <w:rFonts w:hint="eastAsia" w:ascii="楷体_GB2312" w:eastAsia="楷体_GB2312"/>
        </w:rPr>
      </w:pPr>
      <w:r>
        <w:rPr>
          <w:rFonts w:hint="eastAsia" w:ascii="楷体_GB2312" w:eastAsia="楷体_GB2312"/>
          <w:color w:val="050100"/>
        </w:rPr>
        <w:t>（</w:t>
      </w:r>
      <w:r>
        <w:rPr>
          <w:rFonts w:hint="eastAsia" w:ascii="楷体_GB2312" w:eastAsia="楷体_GB2312"/>
          <w:color w:val="auto"/>
          <w:lang w:val="en-US" w:eastAsia="zh-CN"/>
        </w:rPr>
        <w:t>五</w:t>
      </w:r>
      <w:r>
        <w:rPr>
          <w:rFonts w:hint="eastAsia" w:ascii="楷体_GB2312" w:eastAsia="楷体_GB2312"/>
          <w:color w:val="050100"/>
        </w:rPr>
        <w:t>）</w:t>
      </w:r>
      <w:r>
        <w:rPr>
          <w:rFonts w:hint="eastAsia" w:ascii="楷体_GB2312" w:eastAsia="楷体_GB2312"/>
          <w:color w:val="050100"/>
          <w:spacing w:val="-1"/>
        </w:rPr>
        <w:t>坚持融合发展，履责共振提效力</w:t>
      </w:r>
    </w:p>
    <w:p>
      <w:pPr>
        <w:pStyle w:val="3"/>
        <w:spacing w:before="190" w:line="350" w:lineRule="auto"/>
        <w:ind w:right="111" w:firstLine="623"/>
        <w:jc w:val="both"/>
      </w:pPr>
      <w:r>
        <w:rPr>
          <w:b/>
          <w:bCs/>
          <w:color w:val="050100"/>
          <w:spacing w:val="-2"/>
        </w:rPr>
        <w:t>一是注重质效并重加强地方立法。</w:t>
      </w:r>
      <w:r>
        <w:rPr>
          <w:color w:val="050100"/>
          <w:spacing w:val="-2"/>
        </w:rPr>
        <w:t>不断增强坚持党领导立法的思想自觉和行动自觉，始终紧扣中央重大决策部署和省市委中心工作安排立法项目，围绕高质量发展、民生保障、生态环保、社会治理等重点领域加强地方立法，制定（修订）了一大批地方性法规。完善立法</w:t>
      </w:r>
      <w:r>
        <w:rPr>
          <w:color w:val="050100"/>
          <w:spacing w:val="-7"/>
        </w:rPr>
        <w:t>起草、论证、协调、审议机制，强化市委领导、人大主导、政府协同、</w:t>
      </w:r>
    </w:p>
    <w:p>
      <w:pPr>
        <w:spacing w:after="0" w:line="350" w:lineRule="auto"/>
        <w:jc w:val="both"/>
        <w:sectPr>
          <w:pgSz w:w="11910" w:h="16840"/>
          <w:pgMar w:top="1040" w:right="860" w:bottom="660" w:left="860" w:header="0" w:footer="473" w:gutter="0"/>
          <w:pgNumType w:fmt="decimal"/>
          <w:cols w:space="720" w:num="1"/>
        </w:sectPr>
      </w:pPr>
    </w:p>
    <w:p>
      <w:pPr>
        <w:pStyle w:val="3"/>
        <w:spacing w:before="31" w:line="350" w:lineRule="auto"/>
        <w:ind w:right="111"/>
      </w:pPr>
      <w:r>
        <w:rPr>
          <w:color w:val="050100"/>
          <w:spacing w:val="-4"/>
        </w:rPr>
        <w:t>各方配合、公众参与的工作格局。把握立法前调研、立法中论证、</w:t>
      </w:r>
      <w:r>
        <w:rPr>
          <w:color w:val="050100"/>
          <w:spacing w:val="-2"/>
        </w:rPr>
        <w:t>立法后评价等关键环节，加强对涉及复杂利益关系立法问题的协调，确保法规内容科学合理。设立昆明地方立法研究中心，调整地方立法专家库，推动基层立法联系点升级扩容，得到全国人大和省人大的肯</w:t>
      </w:r>
      <w:r>
        <w:rPr>
          <w:color w:val="050100"/>
          <w:spacing w:val="-4"/>
        </w:rPr>
        <w:t>定推广。</w:t>
      </w:r>
    </w:p>
    <w:p>
      <w:pPr>
        <w:pStyle w:val="3"/>
        <w:spacing w:before="7" w:line="350" w:lineRule="auto"/>
        <w:ind w:right="111" w:firstLine="623"/>
      </w:pPr>
      <w:r>
        <w:rPr>
          <w:b/>
          <w:bCs/>
          <w:color w:val="050100"/>
          <w:spacing w:val="-2"/>
        </w:rPr>
        <w:t>二是坚持探索创新增强监督实效。</w:t>
      </w:r>
      <w:r>
        <w:rPr>
          <w:color w:val="050100"/>
          <w:spacing w:val="-2"/>
        </w:rPr>
        <w:t>聚焦推动经济持续健康发展、巩固脱贫攻坚成果推进乡村振兴、筑牢生态基础守护春城绿水青山、以人民为中心增进民生福祉等主题开展监督工作，以扎实有效监督践行“昆明发展、人大尽责”的理念。积极探索监督方法由单一监督形式向综合运用多种监督形式转变，监督力度由柔性监督向刚柔并重监督转变，监督制度由对事监督向对事对人融合监督转变。建立开展政</w:t>
      </w:r>
      <w:r>
        <w:rPr>
          <w:color w:val="050100"/>
          <w:spacing w:val="-10"/>
        </w:rPr>
        <w:t>府向人大报告国有资产管理情况制度，引入第三方加强预算审查监督，</w:t>
      </w:r>
      <w:r>
        <w:rPr>
          <w:color w:val="050100"/>
          <w:spacing w:val="-2"/>
        </w:rPr>
        <w:t>实现预算联网监督系统全覆盖。聚焦生态环境保护，创新开展五级代</w:t>
      </w:r>
      <w:r>
        <w:rPr>
          <w:color w:val="050100"/>
          <w:spacing w:val="-14"/>
        </w:rPr>
        <w:t>表集中调研视察、省市县三级人大联动执法检查和市区人大联动质询、</w:t>
      </w:r>
      <w:r>
        <w:rPr>
          <w:color w:val="050100"/>
          <w:spacing w:val="-2"/>
        </w:rPr>
        <w:t>约见约谈、专项工作评议等全链条监督。</w:t>
      </w:r>
    </w:p>
    <w:p>
      <w:pPr>
        <w:pStyle w:val="3"/>
        <w:spacing w:before="14" w:line="350" w:lineRule="auto"/>
        <w:ind w:right="111" w:firstLine="623"/>
      </w:pPr>
      <w:r>
        <w:rPr>
          <w:b/>
          <w:bCs/>
          <w:color w:val="050100"/>
          <w:spacing w:val="-2"/>
        </w:rPr>
        <w:t>三是围绕中心大局做好重大事项决定。</w:t>
      </w:r>
      <w:r>
        <w:rPr>
          <w:color w:val="050100"/>
          <w:spacing w:val="-2"/>
        </w:rPr>
        <w:t>认真贯彻习近平总书记对</w:t>
      </w:r>
      <w:r>
        <w:rPr>
          <w:color w:val="050100"/>
          <w:spacing w:val="-24"/>
        </w:rPr>
        <w:t>云南工作的重要指示，切实把“三个定位”要求落实到依法履职工作中，</w:t>
      </w:r>
      <w:r>
        <w:rPr>
          <w:color w:val="050100"/>
          <w:spacing w:val="-2"/>
        </w:rPr>
        <w:t>围绕贯彻落实党中央决策部署和省市委工作安排、推动昆明经济社会发展、解决人民群众普遍关心的热点难点问题、推进民主法治建设等全局性、根本性、长远性的重大事项，及时依法做出相关决议决定。</w:t>
      </w:r>
    </w:p>
    <w:p>
      <w:pPr>
        <w:pStyle w:val="3"/>
        <w:spacing w:before="7" w:line="350" w:lineRule="auto"/>
        <w:ind w:right="271" w:firstLine="623"/>
        <w:jc w:val="both"/>
      </w:pPr>
      <w:r>
        <w:rPr>
          <w:b/>
          <w:bCs/>
          <w:color w:val="050100"/>
          <w:spacing w:val="-2"/>
        </w:rPr>
        <w:t>四是践行党管干部原则严格依法任免。</w:t>
      </w:r>
      <w:r>
        <w:rPr>
          <w:color w:val="050100"/>
          <w:spacing w:val="-2"/>
        </w:rPr>
        <w:t>始终坚持党管干部原则与人大严格依法任免有机统一，建立完善任免国家机关工作人员办法，规范常委会任免干部的形式、程序和内容。切实加强对任命干部的任</w:t>
      </w:r>
      <w:r>
        <w:rPr>
          <w:color w:val="050100"/>
          <w:spacing w:val="-1"/>
        </w:rPr>
        <w:t>后监督，从制度层面推动人大监督对事与对人的有机统一。每年有针</w:t>
      </w:r>
    </w:p>
    <w:p>
      <w:pPr>
        <w:spacing w:after="0" w:line="350" w:lineRule="auto"/>
        <w:jc w:val="both"/>
        <w:sectPr>
          <w:pgSz w:w="11910" w:h="16840"/>
          <w:pgMar w:top="1040" w:right="860" w:bottom="660" w:left="860" w:header="0" w:footer="473" w:gutter="0"/>
          <w:pgNumType w:fmt="decimal"/>
          <w:cols w:space="720" w:num="1"/>
        </w:sectPr>
      </w:pPr>
    </w:p>
    <w:p>
      <w:pPr>
        <w:pStyle w:val="3"/>
        <w:spacing w:before="31" w:line="350" w:lineRule="auto"/>
        <w:ind w:right="271"/>
      </w:pPr>
      <w:r>
        <w:rPr>
          <w:color w:val="050100"/>
          <w:spacing w:val="-2"/>
        </w:rPr>
        <w:t>对性地选择部分人大任命干部在常委会会议上进行述法述职报告并进行评议，提高刚性监督实效。</w:t>
      </w:r>
    </w:p>
    <w:p>
      <w:pPr>
        <w:pStyle w:val="3"/>
        <w:spacing w:line="392" w:lineRule="exact"/>
        <w:ind w:left="954"/>
        <w:outlineLvl w:val="0"/>
        <w:rPr>
          <w:rFonts w:ascii="黑体" w:eastAsia="黑体"/>
        </w:rPr>
      </w:pPr>
      <w:bookmarkStart w:id="5" w:name="_Toc2289"/>
      <w:bookmarkStart w:id="6" w:name="_Toc13420"/>
      <w:r>
        <w:rPr>
          <w:rFonts w:ascii="黑体" w:eastAsia="黑体"/>
          <w:color w:val="050100"/>
          <w:spacing w:val="-2"/>
        </w:rPr>
        <w:t>四、主要成效</w:t>
      </w:r>
      <w:bookmarkEnd w:id="5"/>
      <w:bookmarkEnd w:id="6"/>
    </w:p>
    <w:p>
      <w:pPr>
        <w:pStyle w:val="3"/>
        <w:spacing w:before="228" w:line="350" w:lineRule="auto"/>
        <w:ind w:right="267" w:firstLine="623"/>
        <w:jc w:val="both"/>
      </w:pPr>
      <w:r>
        <w:rPr>
          <w:color w:val="050100"/>
          <w:spacing w:val="-2"/>
        </w:rPr>
        <w:t>通过卓有成效的工作，机关党建取得明显成效，思想政治有了新提升，组织建设迈上新台阶，履职尽责彰显新作为，开拓创新取得新突破，清风正气激荡新气象，各项工作朝着“人大系统争一流、全省当标杆、整体上台阶”目标迈出了坚实步伐。</w:t>
      </w:r>
    </w:p>
    <w:p>
      <w:pPr>
        <w:pStyle w:val="3"/>
        <w:spacing w:before="5" w:line="350" w:lineRule="auto"/>
        <w:ind w:right="264" w:firstLine="623"/>
        <w:jc w:val="both"/>
      </w:pPr>
      <w:r>
        <w:rPr>
          <w:color w:val="050100"/>
          <w:spacing w:val="-2"/>
        </w:rPr>
        <w:t>机关连续五届蝉联省级文明单位，荣获全省脱贫攻坚扶贫先进集体、全省民族团结进步模范集体等荣誉称号。党建文化长廊成为市级行政中心党建示范带第一批党建示范点，机关党委连续多年被评为市</w:t>
      </w:r>
      <w:r>
        <w:rPr>
          <w:color w:val="050100"/>
        </w:rPr>
        <w:t>直机关先进党委。在“当好排头兵 献礼二十大”昆明市市直机关党建工作擂台比武（展示）中，市人大常委会机关党委“党建引领 人</w:t>
      </w:r>
      <w:r>
        <w:rPr>
          <w:color w:val="050100"/>
          <w:spacing w:val="-2"/>
        </w:rPr>
        <w:t>民至上”党建品牌排名第一，被命名为市直机关“十佳”党建品牌；市人大常委会机关党委“对标先进、争创一流”主题实践活动排名第一，被予以通报表扬。机关第二党支部率先在昆明市级机关创建为省级规范化建设示范党支部和市级先进基层党组织，离退休第三党支部创建省级离退休示范党支部，第五党支部成功创建为昆明市“春城先锋”示范党支部，四个党支部创建为五星级党支部，一个党支部创建为四星级党支部。</w:t>
      </w:r>
    </w:p>
    <w:p>
      <w:pPr>
        <w:pStyle w:val="3"/>
        <w:spacing w:line="382" w:lineRule="exact"/>
        <w:ind w:left="954"/>
        <w:outlineLvl w:val="0"/>
        <w:rPr>
          <w:rFonts w:ascii="黑体" w:eastAsia="黑体"/>
        </w:rPr>
      </w:pPr>
      <w:bookmarkStart w:id="7" w:name="_Toc11545"/>
      <w:bookmarkStart w:id="8" w:name="_Toc26499"/>
      <w:r>
        <w:rPr>
          <w:rFonts w:ascii="黑体" w:eastAsia="黑体"/>
          <w:color w:val="050100"/>
          <w:spacing w:val="-2"/>
        </w:rPr>
        <w:t>五、经验启示</w:t>
      </w:r>
      <w:bookmarkEnd w:id="7"/>
      <w:bookmarkEnd w:id="8"/>
    </w:p>
    <w:p>
      <w:pPr>
        <w:pStyle w:val="3"/>
        <w:spacing w:before="228" w:line="350" w:lineRule="auto"/>
        <w:ind w:right="111" w:firstLine="623"/>
      </w:pPr>
      <w:r>
        <w:rPr>
          <w:rFonts w:hint="eastAsia" w:ascii="楷体_GB2312" w:eastAsia="楷体_GB2312"/>
          <w:color w:val="050100"/>
          <w:spacing w:val="-2"/>
        </w:rPr>
        <w:t>（一）坚持党的领导是前提。</w:t>
      </w:r>
      <w:r>
        <w:rPr>
          <w:color w:val="050100"/>
          <w:spacing w:val="-2"/>
        </w:rPr>
        <w:t>党的领导是做好人大机关党建工作的首要前提和根本保证。只有全面、系统、整体落实党的领导，认真</w:t>
      </w:r>
      <w:r>
        <w:rPr>
          <w:color w:val="050100"/>
          <w:spacing w:val="-13"/>
        </w:rPr>
        <w:t>执行党的领导各项制度，才能永葆人大机关作为政治机关的鲜明本色，</w:t>
      </w:r>
      <w:r>
        <w:rPr>
          <w:color w:val="050100"/>
          <w:spacing w:val="-2"/>
        </w:rPr>
        <w:t>强化机关各级党组织和广大党员党的意识、党员意识，推动机关党建</w:t>
      </w:r>
    </w:p>
    <w:p>
      <w:pPr>
        <w:spacing w:after="0" w:line="350" w:lineRule="auto"/>
        <w:sectPr>
          <w:pgSz w:w="11910" w:h="16840"/>
          <w:pgMar w:top="1040" w:right="860" w:bottom="660" w:left="860" w:header="0" w:footer="473" w:gutter="0"/>
          <w:pgNumType w:fmt="decimal"/>
          <w:cols w:space="720" w:num="1"/>
        </w:sectPr>
      </w:pPr>
    </w:p>
    <w:p>
      <w:pPr>
        <w:pStyle w:val="3"/>
        <w:spacing w:before="31"/>
      </w:pPr>
      <w:r>
        <w:rPr>
          <w:color w:val="050100"/>
          <w:spacing w:val="-2"/>
        </w:rPr>
        <w:t>工作提质增效。</w:t>
      </w:r>
    </w:p>
    <w:p>
      <w:pPr>
        <w:pStyle w:val="3"/>
        <w:spacing w:before="190" w:line="350" w:lineRule="auto"/>
        <w:ind w:right="268" w:firstLine="623"/>
        <w:jc w:val="both"/>
      </w:pPr>
      <w:r>
        <w:rPr>
          <w:rFonts w:ascii="楷体" w:eastAsia="楷体"/>
          <w:color w:val="050100"/>
          <w:spacing w:val="-2"/>
        </w:rPr>
        <w:t>（二）筑牢基层基础是重点。</w:t>
      </w:r>
      <w:r>
        <w:rPr>
          <w:color w:val="050100"/>
          <w:spacing w:val="-2"/>
        </w:rPr>
        <w:t>党的力量来自组织，基层党组织是党全部工作和战斗力的基础。只有树立大抓基层、大抓基础、大抓支部的鲜明导向，以提升组织力为重点，增强基层党组织政治功能和组织功能，才能推动人大机关党建工作落地生根、开花结果，使人大机关每名党员都成为一面鲜红的旗帜，每个支部都成为党旗高高飘扬的战斗堡垒。</w:t>
      </w:r>
    </w:p>
    <w:p>
      <w:pPr>
        <w:pStyle w:val="3"/>
        <w:spacing w:before="8" w:line="350" w:lineRule="auto"/>
        <w:ind w:right="111" w:firstLine="623"/>
      </w:pPr>
      <w:r>
        <w:rPr>
          <w:rFonts w:hint="eastAsia" w:ascii="楷体_GB2312" w:eastAsia="楷体_GB2312"/>
          <w:color w:val="050100"/>
          <w:spacing w:val="-2"/>
        </w:rPr>
        <w:t>（三</w:t>
      </w:r>
      <w:r>
        <w:rPr>
          <w:rFonts w:hint="eastAsia" w:ascii="楷体_GB2312" w:eastAsia="楷体_GB2312"/>
          <w:color w:val="050100"/>
          <w:spacing w:val="-53"/>
        </w:rPr>
        <w:t>）</w:t>
      </w:r>
      <w:r>
        <w:rPr>
          <w:rFonts w:hint="eastAsia" w:ascii="楷体_GB2312" w:eastAsia="楷体_GB2312"/>
          <w:color w:val="050100"/>
          <w:spacing w:val="-8"/>
        </w:rPr>
        <w:t>推动双融双促是关键。</w:t>
      </w:r>
      <w:r>
        <w:rPr>
          <w:color w:val="050100"/>
          <w:spacing w:val="-2"/>
        </w:rPr>
        <w:t>推动党建工作和业务工作深度融合，既是人大机关党建工作的根本职责和核心任务，也是检验人大机关党建工作成效的重要标尺和行为准则。只有把握好人大机关党建工作的目标定位，推进党建与业务深度融合，做到谋划同向、部署同步、落心、服务中心，真正把党建工作的优势转化为推动人大事业发展的巨</w:t>
      </w:r>
      <w:r>
        <w:rPr>
          <w:color w:val="050100"/>
          <w:spacing w:val="-4"/>
        </w:rPr>
        <w:t>大力量。</w:t>
      </w:r>
    </w:p>
    <w:p>
      <w:pPr>
        <w:pStyle w:val="3"/>
        <w:spacing w:before="9" w:line="350" w:lineRule="auto"/>
        <w:ind w:right="111" w:firstLine="623"/>
      </w:pPr>
      <w:r>
        <w:rPr>
          <w:rFonts w:hint="eastAsia" w:ascii="楷体_GB2312" w:hAnsi="楷体_GB2312" w:eastAsia="楷体_GB2312"/>
          <w:color w:val="050100"/>
          <w:spacing w:val="-2"/>
        </w:rPr>
        <w:t>（四）落实党建责任是保障。</w:t>
      </w:r>
      <w:r>
        <w:rPr>
          <w:color w:val="050100"/>
          <w:spacing w:val="-2"/>
        </w:rPr>
        <w:t>机关党建工作是一项系统工程，需</w:t>
      </w:r>
      <w:r>
        <w:rPr>
          <w:color w:val="050100"/>
          <w:spacing w:val="-14"/>
        </w:rPr>
        <w:t>要多方联动、齐抓共管。只有全面推进人大机关党建工作责任的落实，</w:t>
      </w:r>
      <w:r>
        <w:rPr>
          <w:color w:val="050100"/>
          <w:spacing w:val="-2"/>
        </w:rPr>
        <w:t>把抓好机关党建工作作为首要任务和最大政绩，形成紧密联系、环环相扣的机关党建工作责任链条，才能切实增强抓好党建工作的主动意识、主业意识、主责意识，推动责任层层传递、压力层层传导、任务</w:t>
      </w:r>
      <w:r>
        <w:rPr>
          <w:color w:val="050100"/>
          <w:spacing w:val="-14"/>
        </w:rPr>
        <w:t>层层落实，实现人大机关党建工作由“虚”到“实”、从“软”到“硬”</w:t>
      </w:r>
      <w:r>
        <w:rPr>
          <w:color w:val="050100"/>
          <w:spacing w:val="-4"/>
        </w:rPr>
        <w:t>的转变。</w:t>
      </w:r>
    </w:p>
    <w:p>
      <w:pPr>
        <w:pStyle w:val="3"/>
        <w:spacing w:before="28"/>
        <w:ind w:left="954"/>
        <w:outlineLvl w:val="0"/>
        <w:rPr>
          <w:rFonts w:ascii="黑体" w:eastAsia="黑体"/>
        </w:rPr>
      </w:pPr>
      <w:bookmarkStart w:id="9" w:name="_Toc29926"/>
      <w:bookmarkStart w:id="10" w:name="_Toc29832"/>
      <w:r>
        <w:rPr>
          <w:rFonts w:ascii="黑体" w:eastAsia="黑体"/>
          <w:color w:val="050100"/>
          <w:spacing w:val="-2"/>
        </w:rPr>
        <w:t>六、专家点评</w:t>
      </w:r>
      <w:bookmarkEnd w:id="9"/>
      <w:bookmarkEnd w:id="10"/>
    </w:p>
    <w:p>
      <w:pPr>
        <w:pStyle w:val="3"/>
        <w:spacing w:before="228" w:line="350" w:lineRule="auto"/>
        <w:ind w:right="270" w:firstLine="623"/>
        <w:rPr>
          <w:rFonts w:hint="eastAsia" w:ascii="楷体_GB2312" w:eastAsia="楷体_GB2312"/>
        </w:rPr>
      </w:pPr>
      <w:r>
        <w:rPr>
          <w:rFonts w:hint="eastAsia" w:ascii="楷体_GB2312" w:eastAsia="楷体_GB2312"/>
          <w:color w:val="050100"/>
          <w:spacing w:val="-2"/>
        </w:rPr>
        <w:t>曹甜甜，云南农业大学副教授，武汉大学博士生，主要研究领域为马克思主义中国化及中共党史党建。</w:t>
      </w:r>
    </w:p>
    <w:p>
      <w:pPr>
        <w:pStyle w:val="3"/>
        <w:spacing w:before="3"/>
        <w:ind w:left="897"/>
      </w:pPr>
      <w:r>
        <w:rPr>
          <w:color w:val="050100"/>
          <w:spacing w:val="-1"/>
        </w:rPr>
        <w:t>按照中共云南省委组织部《关于做好云南省干部教育培训昆明片</w:t>
      </w:r>
    </w:p>
    <w:p>
      <w:pPr>
        <w:spacing w:after="0"/>
        <w:sectPr>
          <w:pgSz w:w="11910" w:h="16840"/>
          <w:pgMar w:top="1040" w:right="860" w:bottom="660" w:left="860" w:header="0" w:footer="473" w:gutter="0"/>
          <w:pgNumType w:fmt="decimal"/>
          <w:cols w:space="720" w:num="1"/>
        </w:sectPr>
      </w:pPr>
    </w:p>
    <w:p>
      <w:pPr>
        <w:pStyle w:val="3"/>
        <w:spacing w:before="31" w:line="350" w:lineRule="auto"/>
        <w:ind w:right="272"/>
        <w:jc w:val="both"/>
      </w:pPr>
      <w:r>
        <w:rPr>
          <w:color w:val="050100"/>
          <w:spacing w:val="-2"/>
        </w:rPr>
        <w:t>区现场教学精品路线建设工作的通知》要求，昆明市人大常委会对标昆明片区基层党建现场教学精品路线建设要求，在教学内容和形式融合创新上取得重大突破和进展。</w:t>
      </w:r>
    </w:p>
    <w:p>
      <w:pPr>
        <w:pStyle w:val="3"/>
        <w:spacing w:before="4"/>
        <w:ind w:left="897"/>
        <w:rPr>
          <w:rFonts w:hint="eastAsia" w:ascii="楷体_GB2312" w:eastAsia="楷体_GB2312"/>
        </w:rPr>
      </w:pPr>
      <w:r>
        <w:rPr>
          <w:rFonts w:hint="eastAsia" w:ascii="楷体_GB2312" w:eastAsia="楷体_GB2312"/>
          <w:color w:val="050100"/>
        </w:rPr>
        <w:t>（一）</w:t>
      </w:r>
      <w:r>
        <w:rPr>
          <w:rFonts w:hint="eastAsia" w:ascii="楷体_GB2312" w:eastAsia="楷体_GB2312"/>
          <w:color w:val="050100"/>
          <w:spacing w:val="-1"/>
        </w:rPr>
        <w:t>政治站位高，思想领悟深，推动理论武装进课堂</w:t>
      </w:r>
    </w:p>
    <w:p>
      <w:pPr>
        <w:pStyle w:val="3"/>
        <w:spacing w:before="190" w:line="350" w:lineRule="auto"/>
        <w:ind w:right="268" w:firstLine="623"/>
        <w:jc w:val="both"/>
      </w:pPr>
      <w:r>
        <w:rPr>
          <w:color w:val="050100"/>
          <w:spacing w:val="-2"/>
        </w:rPr>
        <w:t>现场教学是课堂教学的继续和延伸，是党性教育和思想政治教育的活资源。昆明市人大常委会现场教学点牢牢把握党性原则，紧紧围绕党的建设，政治站位高，思想领悟深，深入推进理论武装进现场教学课堂，进参训学员头脑，进实践落实方案。增强学员对党的创新理论的整体把握，通过情景体验、直观感受、激情感悟和反思升华有机统一，拓展深化习近平新时代中国特色社会主义思想的指导意义和贯彻落实党的二十大精神的思路方法。</w:t>
      </w:r>
    </w:p>
    <w:p>
      <w:pPr>
        <w:pStyle w:val="3"/>
        <w:spacing w:before="10"/>
        <w:ind w:left="897"/>
        <w:rPr>
          <w:rFonts w:hint="eastAsia" w:ascii="楷体_GB2312" w:eastAsia="楷体_GB2312"/>
        </w:rPr>
      </w:pPr>
      <w:r>
        <w:rPr>
          <w:rFonts w:hint="eastAsia" w:ascii="楷体_GB2312" w:eastAsia="楷体_GB2312"/>
          <w:color w:val="050100"/>
        </w:rPr>
        <w:t>（二）</w:t>
      </w:r>
      <w:r>
        <w:rPr>
          <w:rFonts w:hint="eastAsia" w:ascii="楷体_GB2312" w:eastAsia="楷体_GB2312"/>
          <w:color w:val="050100"/>
          <w:spacing w:val="-1"/>
        </w:rPr>
        <w:t>统筹能力强，业务水平精，充分发挥人大基本职能</w:t>
      </w:r>
    </w:p>
    <w:p>
      <w:pPr>
        <w:pStyle w:val="3"/>
        <w:spacing w:before="190" w:line="350" w:lineRule="auto"/>
        <w:ind w:right="269" w:firstLine="623"/>
        <w:jc w:val="both"/>
      </w:pPr>
      <w:r>
        <w:rPr>
          <w:color w:val="050100"/>
          <w:spacing w:val="-2"/>
        </w:rPr>
        <w:t>昆明市人大现场教学点立足本职工作，充分体现宏观把握和重点突出的统筹能力，业务水平精湛，突出党建对人民至上、效能建设、守正创新、依法履职的引领作用，并对昆明市机关整体党建全貌进行现实观照，充分发掘市人大的突出业绩、亮点工程和优秀模范，对学员能够形成较好示范、引领、带动作用。</w:t>
      </w:r>
    </w:p>
    <w:p>
      <w:pPr>
        <w:pStyle w:val="3"/>
        <w:spacing w:before="7"/>
        <w:ind w:left="897"/>
        <w:rPr>
          <w:rFonts w:hint="eastAsia" w:ascii="楷体_GB2312" w:eastAsia="楷体_GB2312"/>
        </w:rPr>
      </w:pPr>
      <w:r>
        <w:rPr>
          <w:rFonts w:hint="eastAsia" w:ascii="楷体_GB2312" w:eastAsia="楷体_GB2312"/>
          <w:color w:val="050100"/>
        </w:rPr>
        <w:t>（三）</w:t>
      </w:r>
      <w:r>
        <w:rPr>
          <w:rFonts w:hint="eastAsia" w:ascii="楷体_GB2312" w:eastAsia="楷体_GB2312"/>
          <w:color w:val="050100"/>
          <w:spacing w:val="-1"/>
        </w:rPr>
        <w:t>教学思路广，呈现方式新，不断优化现场教学路线</w:t>
      </w:r>
    </w:p>
    <w:p>
      <w:pPr>
        <w:pStyle w:val="3"/>
        <w:spacing w:before="190" w:line="350" w:lineRule="auto"/>
        <w:ind w:right="111" w:firstLine="623"/>
      </w:pPr>
      <w:r>
        <w:rPr>
          <w:color w:val="050100"/>
          <w:spacing w:val="-2"/>
        </w:rPr>
        <w:t>现场教学是一个整体的系统工程，一方面能够提高学员对党的创新理论的把握能力、对党中央的指示精神的学习贯彻能力，同时结合市人大工作重点，将重点领域、重点内容与教学对象的职业特征、工</w:t>
      </w:r>
      <w:r>
        <w:rPr>
          <w:color w:val="050100"/>
          <w:spacing w:val="-11"/>
        </w:rPr>
        <w:t>作任务等优化教学路线，撷取具有生动性、感染力的教学案例和故事，</w:t>
      </w:r>
      <w:r>
        <w:rPr>
          <w:color w:val="050100"/>
          <w:spacing w:val="-2"/>
        </w:rPr>
        <w:t>以达到讲解员和学员在思想上、理论上和情感上的共鸣，提升现场教学的思想性、针对性和实效性。</w:t>
      </w:r>
    </w:p>
    <w:p>
      <w:pPr>
        <w:spacing w:after="0" w:line="350" w:lineRule="auto"/>
        <w:sectPr>
          <w:pgSz w:w="11910" w:h="16840"/>
          <w:pgMar w:top="1040" w:right="860" w:bottom="660" w:left="860" w:header="0" w:footer="473" w:gutter="0"/>
          <w:pgNumType w:fmt="decimal"/>
          <w:cols w:space="720" w:num="1"/>
        </w:sectPr>
      </w:pPr>
    </w:p>
    <w:p>
      <w:pPr>
        <w:pStyle w:val="3"/>
        <w:spacing w:before="31" w:line="350" w:lineRule="auto"/>
        <w:ind w:right="269" w:firstLine="623"/>
        <w:jc w:val="both"/>
      </w:pPr>
      <w:r>
        <w:rPr>
          <w:color w:val="050100"/>
          <w:spacing w:val="-2"/>
        </w:rPr>
        <w:t>昆明市人大不断深化教学内容、优化教学路线、创新教学形式、提升教学效果，充分利用现有资源和生动案例，把现场变成课堂，把素材变成教材，把学习者变成实践者，打造成为云南省干部教育培训现场教学精品线路的靓丽名片。</w:t>
      </w:r>
    </w:p>
    <w:p>
      <w:pPr>
        <w:pStyle w:val="3"/>
        <w:spacing w:before="5"/>
        <w:ind w:left="897"/>
      </w:pPr>
      <w:r>
        <w:rPr>
          <w:b/>
          <w:bCs/>
          <w:color w:val="050100"/>
          <w:spacing w:val="-2"/>
        </w:rPr>
        <w:t>【研讨题】</w:t>
      </w:r>
    </w:p>
    <w:p>
      <w:pPr>
        <w:pStyle w:val="10"/>
        <w:numPr>
          <w:ilvl w:val="0"/>
          <w:numId w:val="1"/>
        </w:numPr>
        <w:tabs>
          <w:tab w:val="left" w:pos="1301"/>
        </w:tabs>
        <w:spacing w:before="190" w:after="0" w:line="350" w:lineRule="auto"/>
        <w:ind w:left="288" w:right="260" w:firstLine="608"/>
        <w:jc w:val="left"/>
        <w:rPr>
          <w:sz w:val="32"/>
        </w:rPr>
      </w:pPr>
      <w:r>
        <w:rPr>
          <w:color w:val="050100"/>
          <w:spacing w:val="8"/>
          <w:sz w:val="32"/>
        </w:rPr>
        <w:t>如何处理机关党建的共性与个性，推进党建与业务的深度融</w:t>
      </w:r>
      <w:r>
        <w:rPr>
          <w:color w:val="050100"/>
          <w:sz w:val="32"/>
        </w:rPr>
        <w:t xml:space="preserve"> </w:t>
      </w:r>
      <w:r>
        <w:rPr>
          <w:color w:val="050100"/>
          <w:position w:val="-2"/>
          <w:sz w:val="32"/>
        </w:rPr>
        <w:drawing>
          <wp:inline distT="0" distB="0" distL="0" distR="0">
            <wp:extent cx="186690" cy="1905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13" cstate="print"/>
                    <a:stretch>
                      <a:fillRect/>
                    </a:stretch>
                  </pic:blipFill>
                  <pic:spPr>
                    <a:xfrm>
                      <a:off x="0" y="0"/>
                      <a:ext cx="187324" cy="190500"/>
                    </a:xfrm>
                    <a:prstGeom prst="rect">
                      <a:avLst/>
                    </a:prstGeom>
                  </pic:spPr>
                </pic:pic>
              </a:graphicData>
            </a:graphic>
          </wp:inline>
        </w:drawing>
      </w:r>
      <w:r>
        <w:rPr>
          <w:color w:val="050100"/>
          <w:spacing w:val="-10"/>
          <w:sz w:val="32"/>
        </w:rPr>
        <w:t>？</w:t>
      </w:r>
    </w:p>
    <w:p>
      <w:pPr>
        <w:pStyle w:val="10"/>
        <w:numPr>
          <w:ilvl w:val="0"/>
          <w:numId w:val="1"/>
        </w:numPr>
        <w:tabs>
          <w:tab w:val="left" w:pos="1301"/>
        </w:tabs>
        <w:spacing w:before="3" w:after="0" w:line="350" w:lineRule="auto"/>
        <w:ind w:left="273" w:right="260" w:firstLine="623"/>
        <w:jc w:val="left"/>
        <w:rPr>
          <w:sz w:val="32"/>
        </w:rPr>
      </w:pPr>
      <w:r>
        <w:rPr>
          <w:rFonts w:hint="eastAsia"/>
          <w:color w:val="050100"/>
          <w:spacing w:val="6"/>
          <w:sz w:val="32"/>
          <w:lang w:val="en-US" w:eastAsia="zh-CN"/>
        </w:rPr>
        <w:t>建立</w:t>
      </w:r>
      <w:r>
        <w:rPr>
          <w:color w:val="050100"/>
          <w:spacing w:val="6"/>
          <w:sz w:val="32"/>
        </w:rPr>
        <w:t>健全组织明责、书记扛责、党员履责的责任体系，切实</w:t>
      </w:r>
      <w:r>
        <w:rPr>
          <w:color w:val="050100"/>
          <w:spacing w:val="-2"/>
          <w:sz w:val="32"/>
        </w:rPr>
        <w:t>将机关党建落到实处</w:t>
      </w:r>
      <w:r>
        <w:rPr>
          <w:rFonts w:hint="eastAsia"/>
          <w:color w:val="050100"/>
          <w:spacing w:val="-2"/>
          <w:sz w:val="32"/>
          <w:lang w:eastAsia="zh-CN"/>
        </w:rPr>
        <w:t>。</w:t>
      </w:r>
    </w:p>
    <w:p>
      <w:pPr>
        <w:spacing w:after="0" w:line="350" w:lineRule="auto"/>
        <w:jc w:val="left"/>
        <w:rPr>
          <w:sz w:val="32"/>
        </w:rPr>
        <w:sectPr>
          <w:pgSz w:w="11910" w:h="16840"/>
          <w:pgMar w:top="1040" w:right="860" w:bottom="660" w:left="860" w:header="0" w:footer="473" w:gutter="0"/>
          <w:pgNumType w:fmt="decimal"/>
          <w:cols w:space="720" w:num="1"/>
        </w:sectPr>
      </w:pPr>
    </w:p>
    <w:p>
      <w:pPr>
        <w:pStyle w:val="2"/>
        <w:bidi w:val="0"/>
        <w:rPr>
          <w:rFonts w:hint="eastAsia"/>
        </w:rPr>
      </w:pPr>
      <w:bookmarkStart w:id="11" w:name="_Toc23374"/>
      <w:r>
        <w:rPr>
          <w:rFonts w:hint="eastAsia"/>
        </w:rPr>
        <w:t>明“三色” 亮品牌</w:t>
      </w:r>
      <w:bookmarkEnd w:id="11"/>
    </w:p>
    <w:p>
      <w:pPr>
        <w:spacing w:before="0" w:line="689" w:lineRule="exact"/>
        <w:ind w:left="0" w:right="0" w:firstLine="0"/>
        <w:jc w:val="center"/>
        <w:rPr>
          <w:rFonts w:hint="eastAsia" w:ascii="方正小标宋_GBK" w:hAnsi="方正小标宋_GBK" w:eastAsia="方正小标宋_GBK"/>
          <w:color w:val="231F20"/>
          <w:spacing w:val="-2"/>
          <w:sz w:val="44"/>
        </w:rPr>
      </w:pPr>
    </w:p>
    <w:p>
      <w:pPr>
        <w:pStyle w:val="3"/>
        <w:spacing w:before="291" w:line="350" w:lineRule="auto"/>
        <w:ind w:right="267" w:firstLine="623"/>
        <w:jc w:val="both"/>
      </w:pPr>
      <w:r>
        <w:rPr>
          <w:b/>
          <w:bCs/>
          <w:color w:val="050100"/>
          <w:spacing w:val="-2"/>
        </w:rPr>
        <w:t>【引言】</w:t>
      </w:r>
      <w:r>
        <w:rPr>
          <w:color w:val="050100"/>
          <w:spacing w:val="-2"/>
        </w:rPr>
        <w:t>昆明市人大常委会始终高度重视机关党建工作，坚持创新驱动理念，创建并深入践行机关党建品牌体系，取得显著成效，为提升机关党建质量作了有益探索。</w:t>
      </w:r>
    </w:p>
    <w:p>
      <w:pPr>
        <w:pStyle w:val="3"/>
        <w:spacing w:before="4" w:line="350" w:lineRule="auto"/>
        <w:ind w:right="111" w:firstLine="623"/>
      </w:pPr>
      <w:r>
        <w:rPr>
          <w:b/>
          <w:bCs/>
          <w:color w:val="050100"/>
        </w:rPr>
        <w:t>【摘要</w:t>
      </w:r>
      <w:r>
        <w:rPr>
          <w:b/>
          <w:bCs/>
          <w:color w:val="050100"/>
          <w:spacing w:val="-53"/>
        </w:rPr>
        <w:t>】</w:t>
      </w:r>
      <w:r>
        <w:rPr>
          <w:color w:val="050100"/>
        </w:rPr>
        <w:t>紧密</w:t>
      </w:r>
      <w:r>
        <w:rPr>
          <w:color w:val="050100"/>
          <w:spacing w:val="5"/>
        </w:rPr>
        <w:t>结</w:t>
      </w:r>
      <w:r>
        <w:rPr>
          <w:color w:val="050100"/>
          <w:position w:val="-3"/>
        </w:rPr>
        <w:drawing>
          <wp:inline distT="0" distB="0" distL="0" distR="0">
            <wp:extent cx="187325" cy="190500"/>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人大机关党建的特色亮点</w:t>
      </w:r>
      <w:r>
        <w:rPr>
          <w:color w:val="050100"/>
          <w:spacing w:val="-53"/>
        </w:rPr>
        <w:t>，</w:t>
      </w:r>
      <w:r>
        <w:rPr>
          <w:color w:val="050100"/>
        </w:rPr>
        <w:t>聚焦党建品牌创建，</w:t>
      </w:r>
      <w:r>
        <w:rPr>
          <w:color w:val="050100"/>
          <w:spacing w:val="-14"/>
        </w:rPr>
        <w:t>从“品牌创建绘‘底’色”“品牌践行有‘成’色”“品牌成效显‘亮’</w:t>
      </w:r>
      <w:r>
        <w:rPr>
          <w:color w:val="050100"/>
          <w:spacing w:val="-2"/>
        </w:rPr>
        <w:t>色”三个方面，阐述了作为市级机关“十佳”党建品牌之首，昆明市人大常委会机关创建并深入践行机关党建品牌体系的做法和成效，并总结了“坚持政治统领，是党建品牌创建和践行的重要支点”“突出创新特色，是党建品牌创建和践行的基本举措”“聚力精神传承，是党建品牌创建和践行的重要推动”三个方面的经验启示。</w:t>
      </w:r>
    </w:p>
    <w:p>
      <w:pPr>
        <w:pStyle w:val="3"/>
        <w:spacing w:before="10"/>
        <w:ind w:left="897"/>
      </w:pPr>
      <w:r>
        <w:rPr>
          <w:b/>
          <w:bCs/>
          <w:color w:val="050100"/>
          <w:spacing w:val="-1"/>
        </w:rPr>
        <w:t>【关键词】</w:t>
      </w:r>
      <w:r>
        <w:rPr>
          <w:color w:val="050100"/>
          <w:spacing w:val="-1"/>
        </w:rPr>
        <w:t>党建品牌、创新特色</w:t>
      </w:r>
    </w:p>
    <w:p>
      <w:pPr>
        <w:pStyle w:val="3"/>
        <w:spacing w:before="190"/>
        <w:ind w:left="897"/>
      </w:pPr>
      <w:r>
        <w:rPr>
          <w:b/>
          <w:bCs/>
          <w:color w:val="050100"/>
          <w:spacing w:val="-2"/>
        </w:rPr>
        <w:t>【案例正文】</w:t>
      </w:r>
    </w:p>
    <w:p>
      <w:pPr>
        <w:pStyle w:val="3"/>
        <w:spacing w:before="111"/>
        <w:ind w:left="897"/>
        <w:outlineLvl w:val="0"/>
        <w:rPr>
          <w:rFonts w:ascii="黑体" w:eastAsia="黑体"/>
        </w:rPr>
      </w:pPr>
      <w:bookmarkStart w:id="12" w:name="_Toc16418"/>
      <w:bookmarkStart w:id="13" w:name="_Toc15209"/>
      <w:r>
        <w:rPr>
          <w:rFonts w:ascii="黑体" w:eastAsia="黑体"/>
          <w:color w:val="050100"/>
          <w:spacing w:val="-2"/>
        </w:rPr>
        <w:t>一、主要做法</w:t>
      </w:r>
      <w:bookmarkEnd w:id="12"/>
      <w:bookmarkEnd w:id="13"/>
    </w:p>
    <w:p>
      <w:pPr>
        <w:pStyle w:val="3"/>
        <w:spacing w:before="227" w:line="350" w:lineRule="auto"/>
        <w:ind w:right="111" w:firstLine="623"/>
      </w:pPr>
      <w:r>
        <w:rPr>
          <w:color w:val="050100"/>
        </w:rPr>
        <w:t>（一</w:t>
      </w:r>
      <w:r>
        <w:rPr>
          <w:color w:val="050100"/>
          <w:spacing w:val="-22"/>
        </w:rPr>
        <w:t>）</w:t>
      </w:r>
      <w:r>
        <w:rPr>
          <w:rFonts w:hint="eastAsia" w:ascii="楷体_GB2312" w:hAnsi="楷体_GB2312" w:eastAsia="楷体_GB2312"/>
          <w:color w:val="050100"/>
          <w:spacing w:val="-10"/>
        </w:rPr>
        <w:t>品牌创建绘“底”色。</w:t>
      </w:r>
      <w:r>
        <w:rPr>
          <w:color w:val="050100"/>
          <w:spacing w:val="-5"/>
        </w:rPr>
        <w:t>立足人大职能，突出人民至上理念，</w:t>
      </w:r>
      <w:r>
        <w:rPr>
          <w:color w:val="050100"/>
        </w:rPr>
        <w:t>充分发挥党建引领政治功能，创建了“倾听民声 反映民意 汇聚民智</w:t>
      </w:r>
      <w:r>
        <w:rPr>
          <w:color w:val="050100"/>
          <w:spacing w:val="5"/>
        </w:rPr>
        <w:t>服务民生”的人大机关党建品牌，提炼了</w:t>
      </w:r>
      <w:r>
        <w:rPr>
          <w:color w:val="050100"/>
        </w:rPr>
        <w:t>“144</w:t>
      </w:r>
      <w:r>
        <w:rPr>
          <w:color w:val="050100"/>
          <w:spacing w:val="5"/>
        </w:rPr>
        <w:t>”的品牌理念，构建</w:t>
      </w:r>
      <w:r>
        <w:rPr>
          <w:color w:val="050100"/>
          <w:spacing w:val="4"/>
        </w:rPr>
        <w:t>形象化品牌标</w:t>
      </w:r>
      <w:r>
        <w:rPr>
          <w:color w:val="050100"/>
        </w:rPr>
        <w:t>识。8</w:t>
      </w:r>
      <w:r>
        <w:rPr>
          <w:color w:val="050100"/>
          <w:spacing w:val="-79"/>
        </w:rPr>
        <w:t xml:space="preserve"> </w:t>
      </w:r>
      <w:r>
        <w:rPr>
          <w:color w:val="050100"/>
          <w:spacing w:val="4"/>
        </w:rPr>
        <w:t>个在职党支部</w:t>
      </w:r>
      <w:r>
        <w:rPr>
          <w:color w:val="050100"/>
          <w:spacing w:val="19"/>
        </w:rPr>
        <w:t>结</w:t>
      </w:r>
      <w:r>
        <w:rPr>
          <w:color w:val="050100"/>
          <w:spacing w:val="19"/>
          <w:position w:val="-2"/>
        </w:rPr>
        <w:drawing>
          <wp:inline distT="0" distB="0" distL="0" distR="0">
            <wp:extent cx="187325" cy="190500"/>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spacing w:val="4"/>
        </w:rPr>
        <w:t>业务创建了特色支部品</w:t>
      </w:r>
      <w:r>
        <w:rPr>
          <w:color w:val="050100"/>
        </w:rPr>
        <w:t>牌</w:t>
      </w:r>
      <w:r>
        <w:rPr>
          <w:color w:val="050100"/>
          <w:spacing w:val="4"/>
        </w:rPr>
        <w:t>，按</w:t>
      </w:r>
      <w:r>
        <w:rPr>
          <w:color w:val="050100"/>
        </w:rPr>
        <w:t>季度开展互观互评、红星评选等活动，营造比学赶超氛围。经过多年</w:t>
      </w:r>
      <w:r>
        <w:rPr>
          <w:color w:val="050100"/>
          <w:spacing w:val="-13"/>
        </w:rPr>
        <w:t>持续培育，形成了“一机关一品牌、一支部一特色”的党建品牌体系。</w:t>
      </w:r>
    </w:p>
    <w:p>
      <w:pPr>
        <w:pStyle w:val="3"/>
        <w:spacing w:before="9" w:line="350" w:lineRule="auto"/>
        <w:ind w:right="268" w:firstLine="623"/>
      </w:pPr>
      <w:r>
        <w:rPr>
          <w:rFonts w:hint="eastAsia" w:ascii="楷体_GB2312" w:hAnsi="楷体_GB2312" w:eastAsia="楷体_GB2312"/>
          <w:color w:val="050100"/>
          <w:spacing w:val="-2"/>
        </w:rPr>
        <w:t>（二）品牌践行有“成”色。</w:t>
      </w:r>
      <w:r>
        <w:rPr>
          <w:color w:val="050100"/>
          <w:spacing w:val="-2"/>
        </w:rPr>
        <w:t>深入践行“政治性”，坚持对党绝</w:t>
      </w:r>
      <w:r>
        <w:rPr>
          <w:color w:val="050100"/>
          <w:spacing w:val="-1"/>
        </w:rPr>
        <w:t>对忠诚的政治品格，把政治建设放在首位，牢固树立政治机关意识。</w:t>
      </w:r>
    </w:p>
    <w:p>
      <w:pPr>
        <w:spacing w:after="0" w:line="350" w:lineRule="auto"/>
        <w:sectPr>
          <w:pgSz w:w="11910" w:h="16840"/>
          <w:pgMar w:top="1540" w:right="860" w:bottom="660" w:left="860" w:header="0" w:footer="473" w:gutter="0"/>
          <w:pgNumType w:fmt="decimal"/>
          <w:cols w:space="720" w:num="1"/>
        </w:sectPr>
      </w:pPr>
    </w:p>
    <w:p>
      <w:pPr>
        <w:pStyle w:val="3"/>
        <w:spacing w:before="31" w:line="350" w:lineRule="auto"/>
        <w:ind w:right="111"/>
      </w:pPr>
      <w:r>
        <w:drawing>
          <wp:anchor distT="0" distB="0" distL="0" distR="0" simplePos="0" relativeHeight="251660288" behindDoc="1" locked="0" layoutInCell="1" allowOverlap="1">
            <wp:simplePos x="0" y="0"/>
            <wp:positionH relativeFrom="page">
              <wp:posOffset>5828665</wp:posOffset>
            </wp:positionH>
            <wp:positionV relativeFrom="paragraph">
              <wp:posOffset>434975</wp:posOffset>
            </wp:positionV>
            <wp:extent cx="187325" cy="1905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anchor>
        </w:drawing>
      </w:r>
      <w:r>
        <w:rPr>
          <w:color w:val="050100"/>
          <w:spacing w:val="-2"/>
        </w:rPr>
        <w:t>深入践行“人民性”，牢固树立宗旨意识，把人民群众满意不满意作为检验工作成效的标尺，全力推动机关党建和业务深度融、相互促</w:t>
      </w:r>
      <w:r>
        <w:rPr>
          <w:color w:val="050100"/>
          <w:spacing w:val="-5"/>
        </w:rPr>
        <w:t>进。深入践行“创新性”，坚持规范到位和探索创新相结</w:t>
      </w:r>
      <w:r>
        <w:rPr>
          <w:color w:val="050100"/>
          <w:position w:val="-2"/>
        </w:rPr>
        <w:drawing>
          <wp:inline distT="0" distB="0" distL="0" distR="0">
            <wp:extent cx="187325" cy="190500"/>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spacing w:val="-5"/>
        </w:rPr>
        <w:t>，在理念、</w:t>
      </w:r>
      <w:r>
        <w:rPr>
          <w:color w:val="050100"/>
          <w:spacing w:val="-6"/>
        </w:rPr>
        <w:t>机制、方法上积极探索、创新实践、迭代跃升。深入践行“先进性”，</w:t>
      </w:r>
      <w:r>
        <w:rPr>
          <w:color w:val="050100"/>
          <w:spacing w:val="-2"/>
        </w:rPr>
        <w:t>坚持守正不动摇，保持党的纯洁性，突出体现党的先进性，努力将全面从严治党转化为推动发展的力量。</w:t>
      </w:r>
    </w:p>
    <w:p>
      <w:pPr>
        <w:pStyle w:val="3"/>
        <w:spacing w:before="8" w:line="350" w:lineRule="auto"/>
        <w:ind w:right="111" w:firstLine="623"/>
      </w:pPr>
      <w:r>
        <w:rPr>
          <w:rFonts w:hint="eastAsia" w:ascii="楷体_GB2312" w:hAnsi="楷体_GB2312" w:eastAsia="楷体_GB2312"/>
          <w:color w:val="050100"/>
          <w:spacing w:val="-4"/>
        </w:rPr>
        <w:t>（三）品牌成效显“亮”色。</w:t>
      </w:r>
      <w:r>
        <w:rPr>
          <w:color w:val="050100"/>
          <w:spacing w:val="-4"/>
        </w:rPr>
        <w:t>通过践行品牌，不断夯实党建基础，</w:t>
      </w:r>
      <w:r>
        <w:rPr>
          <w:color w:val="050100"/>
          <w:spacing w:val="-2"/>
        </w:rPr>
        <w:t xml:space="preserve">取得成效，机关党建工作获得省、市多项表彰。机关连续五届蝉联省级文明单位，荣获全省脱贫攻坚先进集体、全省民族团结进步模范集体等称号。党支部工作成效显著，获“省级规范化示范党支部”称号 </w:t>
      </w:r>
      <w:r>
        <w:rPr>
          <w:color w:val="050100"/>
        </w:rPr>
        <w:t>1</w:t>
      </w:r>
      <w:r>
        <w:rPr>
          <w:color w:val="050100"/>
          <w:spacing w:val="-19"/>
        </w:rPr>
        <w:t xml:space="preserve"> 个，“省级离退休示范党支部”称号 </w:t>
      </w:r>
      <w:r>
        <w:rPr>
          <w:color w:val="050100"/>
        </w:rPr>
        <w:t>1</w:t>
      </w:r>
      <w:r>
        <w:rPr>
          <w:color w:val="050100"/>
          <w:spacing w:val="-15"/>
        </w:rPr>
        <w:t xml:space="preserve"> 个，“春城先锋示范党支部”</w:t>
      </w:r>
      <w:r>
        <w:rPr>
          <w:color w:val="050100"/>
        </w:rPr>
        <w:t>1</w:t>
      </w:r>
    </w:p>
    <w:p>
      <w:pPr>
        <w:pStyle w:val="3"/>
        <w:spacing w:before="7"/>
      </w:pPr>
      <w:r>
        <w:rPr>
          <w:color w:val="050100"/>
          <w:spacing w:val="-9"/>
        </w:rPr>
        <w:t xml:space="preserve">个，五星级党支部 </w:t>
      </w:r>
      <w:r>
        <w:rPr>
          <w:color w:val="050100"/>
        </w:rPr>
        <w:t>4</w:t>
      </w:r>
      <w:r>
        <w:rPr>
          <w:color w:val="050100"/>
          <w:spacing w:val="-17"/>
        </w:rPr>
        <w:t xml:space="preserve"> 个、四星级党支部 </w:t>
      </w:r>
      <w:r>
        <w:rPr>
          <w:color w:val="050100"/>
        </w:rPr>
        <w:t>1</w:t>
      </w:r>
      <w:r>
        <w:rPr>
          <w:color w:val="050100"/>
          <w:spacing w:val="-10"/>
        </w:rPr>
        <w:t xml:space="preserve"> 个，市级“离退休示范党支</w:t>
      </w:r>
    </w:p>
    <w:p>
      <w:pPr>
        <w:pStyle w:val="3"/>
        <w:spacing w:before="190" w:line="350" w:lineRule="auto"/>
        <w:ind w:right="271"/>
      </w:pPr>
      <w:r>
        <w:rPr>
          <w:color w:val="050100"/>
          <w:spacing w:val="-23"/>
        </w:rPr>
        <w:t xml:space="preserve">部”称号 </w:t>
      </w:r>
      <w:r>
        <w:rPr>
          <w:color w:val="050100"/>
          <w:spacing w:val="-6"/>
        </w:rPr>
        <w:t>2</w:t>
      </w:r>
      <w:r>
        <w:rPr>
          <w:color w:val="050100"/>
          <w:spacing w:val="-34"/>
        </w:rPr>
        <w:t xml:space="preserve"> 个。</w:t>
      </w:r>
      <w:r>
        <w:rPr>
          <w:color w:val="050100"/>
          <w:spacing w:val="-6"/>
        </w:rPr>
        <w:t>5</w:t>
      </w:r>
      <w:r>
        <w:rPr>
          <w:color w:val="050100"/>
          <w:spacing w:val="-35"/>
        </w:rPr>
        <w:t xml:space="preserve"> 名党员和 </w:t>
      </w:r>
      <w:r>
        <w:rPr>
          <w:color w:val="050100"/>
          <w:spacing w:val="-6"/>
        </w:rPr>
        <w:t>3</w:t>
      </w:r>
      <w:r>
        <w:rPr>
          <w:color w:val="050100"/>
          <w:spacing w:val="-16"/>
        </w:rPr>
        <w:t xml:space="preserve"> 个党组织分别获市委、市直机关工委“两</w:t>
      </w:r>
      <w:r>
        <w:rPr>
          <w:color w:val="050100"/>
          <w:spacing w:val="-2"/>
        </w:rPr>
        <w:t>优一先”表彰。</w:t>
      </w:r>
    </w:p>
    <w:p>
      <w:pPr>
        <w:pStyle w:val="3"/>
        <w:spacing w:line="375" w:lineRule="exact"/>
        <w:ind w:left="897"/>
        <w:outlineLvl w:val="0"/>
        <w:rPr>
          <w:rFonts w:ascii="黑体" w:eastAsia="黑体"/>
        </w:rPr>
      </w:pPr>
      <w:bookmarkStart w:id="14" w:name="_Toc24557"/>
      <w:bookmarkStart w:id="15" w:name="_Toc25605"/>
      <w:r>
        <w:rPr>
          <w:rFonts w:ascii="黑体" w:eastAsia="黑体"/>
          <w:color w:val="050100"/>
          <w:spacing w:val="-2"/>
        </w:rPr>
        <w:t>二、经验启示</w:t>
      </w:r>
      <w:bookmarkEnd w:id="14"/>
      <w:bookmarkEnd w:id="15"/>
    </w:p>
    <w:p>
      <w:pPr>
        <w:pStyle w:val="3"/>
        <w:spacing w:before="228" w:line="350" w:lineRule="auto"/>
        <w:ind w:right="267" w:firstLine="623"/>
        <w:jc w:val="both"/>
      </w:pPr>
      <w:r>
        <w:rPr>
          <w:color w:val="050100"/>
          <w:spacing w:val="-2"/>
        </w:rPr>
        <w:t>党建品牌创建坚持高起点高站位，在建设中找准创建原则，做到主题鲜明、形式多样、内涵丰富、成效突出，以常态化管理、推广和实践，激活党建“引擎”。</w:t>
      </w:r>
    </w:p>
    <w:p>
      <w:pPr>
        <w:pStyle w:val="3"/>
        <w:spacing w:before="4" w:line="350" w:lineRule="auto"/>
        <w:ind w:right="268" w:firstLine="623"/>
        <w:jc w:val="both"/>
      </w:pPr>
      <w:r>
        <w:rPr>
          <w:rFonts w:hint="eastAsia" w:ascii="楷体_GB2312" w:hAnsi="楷体_GB2312" w:eastAsia="楷体_GB2312"/>
          <w:color w:val="050100"/>
          <w:spacing w:val="-2"/>
        </w:rPr>
        <w:t>（一）坚持政治统领，是党建品牌创建和践行的重要支点。</w:t>
      </w:r>
      <w:r>
        <w:rPr>
          <w:color w:val="050100"/>
          <w:spacing w:val="-2"/>
        </w:rPr>
        <w:t>人大常委会机关是政治机关，必须坚持政治统领，增强“四个意识”、坚</w:t>
      </w:r>
      <w:r>
        <w:rPr>
          <w:color w:val="050100"/>
        </w:rPr>
        <w:t>定“四个自信”、做到“两个维护”。要</w:t>
      </w:r>
      <w:r>
        <w:rPr>
          <w:color w:val="050100"/>
          <w:spacing w:val="6"/>
        </w:rPr>
        <w:t>结</w:t>
      </w:r>
      <w:r>
        <w:rPr>
          <w:color w:val="050100"/>
          <w:position w:val="-3"/>
        </w:rPr>
        <w:drawing>
          <wp:inline distT="0" distB="0" distL="0" distR="0">
            <wp:extent cx="187325" cy="190500"/>
            <wp:effectExtent l="0" t="0" r="0" b="0"/>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机关党建基本要求，以</w:t>
      </w:r>
      <w:r>
        <w:rPr>
          <w:color w:val="050100"/>
          <w:spacing w:val="-2"/>
        </w:rPr>
        <w:t>建设让党放心、让人民满意的模范机关为任务主线，使党建品牌具有鲜明的政治性。</w:t>
      </w:r>
    </w:p>
    <w:p>
      <w:pPr>
        <w:pStyle w:val="3"/>
        <w:spacing w:before="7"/>
        <w:ind w:left="897"/>
      </w:pPr>
      <w:r>
        <w:rPr>
          <w:rFonts w:hint="eastAsia" w:ascii="楷体_GB2312" w:eastAsia="楷体_GB2312"/>
          <w:color w:val="050100"/>
        </w:rPr>
        <w:t>（二）突出创新特色，是党建品牌创建和践行的基本举措。</w:t>
      </w:r>
      <w:r>
        <w:rPr>
          <w:color w:val="050100"/>
          <w:spacing w:val="-5"/>
        </w:rPr>
        <w:t>既要</w:t>
      </w:r>
    </w:p>
    <w:p>
      <w:pPr>
        <w:spacing w:after="0"/>
        <w:sectPr>
          <w:pgSz w:w="11910" w:h="16840"/>
          <w:pgMar w:top="1040" w:right="860" w:bottom="660" w:left="860" w:header="0" w:footer="473" w:gutter="0"/>
          <w:pgNumType w:fmt="decimal"/>
          <w:cols w:space="720" w:num="1"/>
        </w:sectPr>
      </w:pPr>
    </w:p>
    <w:p>
      <w:pPr>
        <w:pStyle w:val="3"/>
        <w:spacing w:before="31" w:line="350" w:lineRule="auto"/>
        <w:ind w:right="111"/>
        <w:jc w:val="both"/>
      </w:pPr>
      <w:r>
        <w:rPr>
          <w:color w:val="050100"/>
          <w:spacing w:val="-19"/>
        </w:rPr>
        <w:t>认真落实党中央、省市委工作要求，坚决完成好规定动作，落实好“照</w:t>
      </w:r>
      <w:r>
        <w:rPr>
          <w:color w:val="050100"/>
        </w:rPr>
        <w:t>着做”的要求，又要</w:t>
      </w:r>
      <w:r>
        <w:rPr>
          <w:color w:val="050100"/>
          <w:spacing w:val="6"/>
        </w:rPr>
        <w:t>结</w:t>
      </w:r>
      <w:r>
        <w:rPr>
          <w:color w:val="050100"/>
          <w:position w:val="-2"/>
        </w:rPr>
        <w:drawing>
          <wp:inline distT="0" distB="0" distL="0" distR="0">
            <wp:extent cx="187325" cy="190500"/>
            <wp:effectExtent l="0" t="0" r="0" b="0"/>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实际，从小处入手，在润物细无声处、上下</w:t>
      </w:r>
      <w:r>
        <w:rPr>
          <w:color w:val="050100"/>
          <w:spacing w:val="-25"/>
        </w:rPr>
        <w:t>相交融处、体现文化之处着力，找准抓手和载体，突出特色“创新做”。</w:t>
      </w:r>
    </w:p>
    <w:p>
      <w:pPr>
        <w:pStyle w:val="3"/>
        <w:spacing w:before="4" w:line="350" w:lineRule="auto"/>
        <w:ind w:right="269" w:firstLine="623"/>
        <w:jc w:val="both"/>
      </w:pPr>
      <w:r>
        <w:rPr>
          <w:rFonts w:hint="eastAsia" w:ascii="楷体_GB2312" w:eastAsia="楷体_GB2312"/>
          <w:color w:val="050100"/>
          <w:spacing w:val="-2"/>
        </w:rPr>
        <w:t>（三）聚力精神传承，是党建品牌创建和践行的重要推动。</w:t>
      </w:r>
      <w:r>
        <w:rPr>
          <w:color w:val="050100"/>
          <w:spacing w:val="-2"/>
        </w:rPr>
        <w:t>机关党建是党的历史和单位历史的延续，也是推动机关工作向前迈进的动力。要聚力精神传承，从党的百年奋斗大历史和单位自身小故事中，汲取继续前进的智慧和力量，与时俱进。</w:t>
      </w:r>
    </w:p>
    <w:p>
      <w:pPr>
        <w:pStyle w:val="3"/>
        <w:spacing w:before="6"/>
        <w:ind w:left="897"/>
        <w:rPr>
          <w:b/>
          <w:bCs/>
        </w:rPr>
      </w:pPr>
      <w:r>
        <w:rPr>
          <w:b/>
          <w:bCs/>
          <w:color w:val="050100"/>
          <w:spacing w:val="-2"/>
        </w:rPr>
        <w:t>【研讨题】</w:t>
      </w:r>
    </w:p>
    <w:p>
      <w:pPr>
        <w:pStyle w:val="10"/>
        <w:numPr>
          <w:ilvl w:val="0"/>
          <w:numId w:val="2"/>
        </w:numPr>
        <w:tabs>
          <w:tab w:val="left" w:pos="1298"/>
        </w:tabs>
        <w:spacing w:before="190" w:after="0" w:line="240" w:lineRule="auto"/>
        <w:ind w:left="1297" w:right="0" w:hanging="401"/>
        <w:jc w:val="left"/>
        <w:rPr>
          <w:sz w:val="32"/>
        </w:rPr>
      </w:pPr>
      <w:r>
        <w:rPr>
          <w:color w:val="050100"/>
          <w:sz w:val="32"/>
        </w:rPr>
        <w:t>如何</w:t>
      </w:r>
      <w:r>
        <w:rPr>
          <w:color w:val="050100"/>
          <w:spacing w:val="15"/>
          <w:sz w:val="32"/>
        </w:rPr>
        <w:t>结</w:t>
      </w:r>
      <w:r>
        <w:rPr>
          <w:color w:val="050100"/>
          <w:position w:val="-2"/>
          <w:sz w:val="32"/>
        </w:rPr>
        <w:drawing>
          <wp:inline distT="0" distB="0" distL="0" distR="0">
            <wp:extent cx="187325" cy="190500"/>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sz w:val="32"/>
        </w:rPr>
        <w:t>机关工作特质，创建党建品牌</w:t>
      </w:r>
      <w:r>
        <w:rPr>
          <w:color w:val="050100"/>
          <w:spacing w:val="-10"/>
          <w:sz w:val="32"/>
        </w:rPr>
        <w:t>？</w:t>
      </w:r>
    </w:p>
    <w:p>
      <w:pPr>
        <w:pStyle w:val="10"/>
        <w:numPr>
          <w:ilvl w:val="0"/>
          <w:numId w:val="2"/>
        </w:numPr>
        <w:tabs>
          <w:tab w:val="left" w:pos="1298"/>
        </w:tabs>
        <w:spacing w:before="190" w:after="0" w:line="240" w:lineRule="auto"/>
        <w:ind w:left="1297" w:right="0" w:hanging="401"/>
        <w:jc w:val="left"/>
        <w:rPr>
          <w:sz w:val="32"/>
        </w:rPr>
      </w:pPr>
      <w:r>
        <w:rPr>
          <w:color w:val="050100"/>
          <w:spacing w:val="-1"/>
          <w:sz w:val="32"/>
        </w:rPr>
        <w:t>如何着力创新党建载体，务实全面推进工作？</w:t>
      </w:r>
    </w:p>
    <w:p>
      <w:pPr>
        <w:spacing w:after="0" w:line="240" w:lineRule="auto"/>
        <w:jc w:val="left"/>
        <w:rPr>
          <w:sz w:val="32"/>
        </w:rPr>
        <w:sectPr>
          <w:pgSz w:w="11910" w:h="16840"/>
          <w:pgMar w:top="1040" w:right="860" w:bottom="660" w:left="860" w:header="0" w:footer="473" w:gutter="0"/>
          <w:pgNumType w:fmt="decimal"/>
          <w:cols w:space="720" w:num="1"/>
        </w:sectPr>
      </w:pPr>
    </w:p>
    <w:p>
      <w:pPr>
        <w:pStyle w:val="2"/>
        <w:bidi w:val="0"/>
        <w:rPr>
          <w:rFonts w:hint="eastAsia"/>
        </w:rPr>
      </w:pPr>
      <w:bookmarkStart w:id="16" w:name="_Toc15578"/>
      <w:r>
        <w:rPr>
          <w:rFonts w:hint="eastAsia"/>
        </w:rPr>
        <w:t>强化规范提升</w:t>
      </w:r>
      <w:r>
        <w:rPr>
          <w:rFonts w:hint="eastAsia"/>
          <w:lang w:val="en-US" w:eastAsia="zh-CN"/>
        </w:rPr>
        <w:t xml:space="preserve">  </w:t>
      </w:r>
      <w:r>
        <w:rPr>
          <w:rFonts w:hint="eastAsia"/>
        </w:rPr>
        <w:t>建设坚强堡垒</w:t>
      </w:r>
      <w:bookmarkEnd w:id="16"/>
    </w:p>
    <w:p>
      <w:pPr>
        <w:tabs>
          <w:tab w:val="left" w:pos="2859"/>
        </w:tabs>
        <w:spacing w:before="0" w:line="689" w:lineRule="exact"/>
        <w:ind w:left="0" w:right="0" w:firstLine="0"/>
        <w:jc w:val="center"/>
        <w:rPr>
          <w:rFonts w:hint="eastAsia" w:ascii="方正小标宋_GBK" w:eastAsia="方正小标宋_GBK"/>
          <w:color w:val="231F20"/>
          <w:spacing w:val="-10"/>
          <w:sz w:val="44"/>
        </w:rPr>
      </w:pPr>
    </w:p>
    <w:p>
      <w:pPr>
        <w:pStyle w:val="3"/>
        <w:spacing w:before="291" w:line="350" w:lineRule="auto"/>
        <w:ind w:right="266" w:firstLine="623"/>
        <w:jc w:val="both"/>
      </w:pPr>
      <w:r>
        <w:rPr>
          <w:b/>
          <w:bCs/>
          <w:color w:val="050100"/>
        </w:rPr>
        <w:t>【引言】</w:t>
      </w:r>
      <w:r>
        <w:rPr>
          <w:color w:val="050100"/>
        </w:rPr>
        <w:t>昆明市人大常委会机关在职8个党支部以推动机关党</w:t>
      </w:r>
      <w:r>
        <w:rPr>
          <w:color w:val="050100"/>
          <w:spacing w:val="-2"/>
        </w:rPr>
        <w:t>的建设高质量发展为主题，以党的政治建设为统领，聚焦问题导向、对标提升、创新理念、文化引领、考核问责五个方面，促进党建与业</w:t>
      </w:r>
      <w:r>
        <w:rPr>
          <w:color w:val="050100"/>
        </w:rPr>
        <w:t>务工作深度</w:t>
      </w:r>
      <w:r>
        <w:rPr>
          <w:color w:val="050100"/>
          <w:spacing w:val="5"/>
        </w:rPr>
        <w:t>融</w:t>
      </w:r>
      <w:r>
        <w:rPr>
          <w:color w:val="050100"/>
          <w:position w:val="-3"/>
        </w:rPr>
        <w:drawing>
          <wp:inline distT="0" distB="0" distL="0" distR="0">
            <wp:extent cx="187325" cy="190500"/>
            <wp:effectExtent l="0" t="0" r="0" b="0"/>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w:t>
      </w:r>
    </w:p>
    <w:p>
      <w:pPr>
        <w:pStyle w:val="3"/>
        <w:spacing w:before="6" w:line="350" w:lineRule="auto"/>
        <w:ind w:right="268" w:firstLine="623"/>
        <w:jc w:val="both"/>
      </w:pPr>
      <w:r>
        <w:rPr>
          <w:b/>
          <w:bCs/>
          <w:color w:val="050100"/>
          <w:spacing w:val="-2"/>
        </w:rPr>
        <w:t>【摘要】</w:t>
      </w:r>
      <w:r>
        <w:rPr>
          <w:color w:val="050100"/>
          <w:spacing w:val="-2"/>
        </w:rPr>
        <w:t>紧扣《中国共产党支部工作条例》有关规定，从“压实党建工作责任”“深化党建品牌建设”“提升组织活动质量”“发挥先锋示范作用”“党建与业务双促进”五个方面，阐述了昆明市人大</w:t>
      </w:r>
      <w:r>
        <w:rPr>
          <w:color w:val="050100"/>
        </w:rPr>
        <w:t>常委会机关在职8个党支部党建与业务工作共同推进、深度</w:t>
      </w:r>
      <w:r>
        <w:rPr>
          <w:color w:val="050100"/>
          <w:spacing w:val="18"/>
        </w:rPr>
        <w:t>融</w:t>
      </w:r>
      <w:r>
        <w:rPr>
          <w:color w:val="050100"/>
          <w:position w:val="-3"/>
        </w:rPr>
        <w:drawing>
          <wp:inline distT="0" distB="0" distL="0" distR="0">
            <wp:extent cx="186690" cy="190500"/>
            <wp:effectExtent l="0" t="0" r="0" b="0"/>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a:picLocks noChangeAspect="1"/>
                    </pic:cNvPicPr>
                  </pic:nvPicPr>
                  <pic:blipFill>
                    <a:blip r:embed="rId13" cstate="print"/>
                    <a:stretch>
                      <a:fillRect/>
                    </a:stretch>
                  </pic:blipFill>
                  <pic:spPr>
                    <a:xfrm>
                      <a:off x="0" y="0"/>
                      <a:ext cx="187324" cy="190500"/>
                    </a:xfrm>
                    <a:prstGeom prst="rect">
                      <a:avLst/>
                    </a:prstGeom>
                  </pic:spPr>
                </pic:pic>
              </a:graphicData>
            </a:graphic>
          </wp:inline>
        </w:drawing>
      </w:r>
      <w:r>
        <w:rPr>
          <w:color w:val="050100"/>
        </w:rPr>
        <w:t>的</w:t>
      </w:r>
      <w:r>
        <w:rPr>
          <w:color w:val="050100"/>
          <w:spacing w:val="-2"/>
        </w:rPr>
        <w:t>做法和经验，总结了“政治建设是引领”“从严从实是核心”“担当作为是关键”三个方面的经验启示。</w:t>
      </w:r>
    </w:p>
    <w:p>
      <w:pPr>
        <w:pStyle w:val="3"/>
        <w:spacing w:before="8"/>
        <w:ind w:left="897"/>
      </w:pPr>
      <w:r>
        <w:rPr>
          <w:b/>
          <w:bCs/>
          <w:color w:val="050100"/>
          <w:spacing w:val="-1"/>
        </w:rPr>
        <w:t>【关键词】</w:t>
      </w:r>
      <w:r>
        <w:rPr>
          <w:color w:val="050100"/>
          <w:spacing w:val="-1"/>
        </w:rPr>
        <w:t>党支部规范化、先锋示范</w:t>
      </w:r>
    </w:p>
    <w:p>
      <w:pPr>
        <w:pStyle w:val="3"/>
        <w:spacing w:before="190"/>
        <w:ind w:left="897"/>
        <w:rPr>
          <w:b/>
          <w:bCs/>
        </w:rPr>
      </w:pPr>
      <w:r>
        <w:rPr>
          <w:b/>
          <w:bCs/>
          <w:color w:val="050100"/>
          <w:spacing w:val="-2"/>
        </w:rPr>
        <w:t>【案例正文】</w:t>
      </w:r>
    </w:p>
    <w:p>
      <w:pPr>
        <w:pStyle w:val="3"/>
        <w:spacing w:before="119"/>
        <w:ind w:left="897"/>
        <w:outlineLvl w:val="0"/>
        <w:rPr>
          <w:rFonts w:ascii="黑体" w:eastAsia="黑体"/>
        </w:rPr>
      </w:pPr>
      <w:bookmarkStart w:id="17" w:name="_Toc7831"/>
      <w:bookmarkStart w:id="18" w:name="_Toc29197"/>
      <w:r>
        <w:rPr>
          <w:rFonts w:ascii="黑体" w:eastAsia="黑体"/>
          <w:color w:val="050100"/>
          <w:spacing w:val="-2"/>
        </w:rPr>
        <w:t>一、主要做法</w:t>
      </w:r>
      <w:bookmarkEnd w:id="17"/>
      <w:bookmarkEnd w:id="18"/>
    </w:p>
    <w:p>
      <w:pPr>
        <w:pStyle w:val="3"/>
        <w:spacing w:before="228" w:line="350" w:lineRule="auto"/>
        <w:ind w:right="267" w:firstLine="623"/>
        <w:jc w:val="both"/>
      </w:pPr>
      <w:r>
        <w:rPr>
          <w:rFonts w:hint="eastAsia" w:ascii="楷体_GB2312" w:eastAsia="楷体_GB2312"/>
          <w:color w:val="050100"/>
          <w:spacing w:val="-2"/>
        </w:rPr>
        <w:t>（一）压实党建工作责任。</w:t>
      </w:r>
      <w:r>
        <w:rPr>
          <w:color w:val="050100"/>
          <w:spacing w:val="-2"/>
        </w:rPr>
        <w:t>坚持把明晰责任作为党支部的重点工作来抓，建立支部书记、班子成员抓党建工作目标、问题和效果责任清单，对照清单倒逼党建责任落实。开展党支部和支部书记述职评议考核，加强支部建设、书记和党员履职尽责的量化考核，充分发挥考核的指挥棒作用，推进党支部标准化、规范化建设。</w:t>
      </w:r>
    </w:p>
    <w:p>
      <w:pPr>
        <w:pStyle w:val="3"/>
        <w:spacing w:before="7" w:line="350" w:lineRule="auto"/>
        <w:ind w:right="269" w:firstLine="623"/>
        <w:jc w:val="both"/>
      </w:pPr>
      <w:r>
        <w:drawing>
          <wp:anchor distT="0" distB="0" distL="0" distR="0" simplePos="0" relativeHeight="251661312" behindDoc="1" locked="0" layoutInCell="1" allowOverlap="1">
            <wp:simplePos x="0" y="0"/>
            <wp:positionH relativeFrom="page">
              <wp:posOffset>2973705</wp:posOffset>
            </wp:positionH>
            <wp:positionV relativeFrom="paragraph">
              <wp:posOffset>801370</wp:posOffset>
            </wp:positionV>
            <wp:extent cx="187325" cy="1905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anchor>
        </w:drawing>
      </w:r>
      <w:r>
        <w:rPr>
          <w:rFonts w:hint="eastAsia" w:ascii="楷体_GB2312" w:hAnsi="楷体_GB2312" w:eastAsia="楷体_GB2312"/>
          <w:color w:val="050100"/>
          <w:spacing w:val="-2"/>
        </w:rPr>
        <w:t>（二）深化党建品牌建设。</w:t>
      </w:r>
      <w:r>
        <w:rPr>
          <w:color w:val="050100"/>
          <w:spacing w:val="-2"/>
        </w:rPr>
        <w:t>以党建品牌为抓手，深入挖掘机关党建工作理念和内涵，以品牌促思想建设和阵地建设，激发支部创新活</w:t>
      </w:r>
      <w:r>
        <w:rPr>
          <w:color w:val="050100"/>
        </w:rPr>
        <w:t>力。以品牌创建促业务融</w:t>
      </w:r>
      <w:r>
        <w:rPr>
          <w:color w:val="050100"/>
          <w:spacing w:val="-1"/>
        </w:rPr>
        <w:t>，以品牌创建促依法履职，推进党建与业</w:t>
      </w:r>
    </w:p>
    <w:p>
      <w:pPr>
        <w:spacing w:after="0" w:line="350" w:lineRule="auto"/>
        <w:jc w:val="both"/>
        <w:sectPr>
          <w:pgSz w:w="11910" w:h="16840"/>
          <w:pgMar w:top="1540" w:right="860" w:bottom="660" w:left="860" w:header="0" w:footer="473" w:gutter="0"/>
          <w:pgNumType w:fmt="decimal"/>
          <w:cols w:space="720" w:num="1"/>
        </w:sectPr>
      </w:pPr>
    </w:p>
    <w:p>
      <w:pPr>
        <w:pStyle w:val="3"/>
        <w:spacing w:before="31" w:line="350" w:lineRule="auto"/>
        <w:ind w:right="273"/>
      </w:pPr>
      <w:r>
        <w:rPr>
          <w:color w:val="050100"/>
        </w:rPr>
        <w:t>务工作</w:t>
      </w:r>
      <w:r>
        <w:rPr>
          <w:color w:val="050100"/>
          <w:spacing w:val="6"/>
        </w:rPr>
        <w:t>融</w:t>
      </w:r>
      <w:r>
        <w:rPr>
          <w:color w:val="050100"/>
          <w:position w:val="-2"/>
        </w:rPr>
        <w:drawing>
          <wp:inline distT="0" distB="0" distL="0" distR="0">
            <wp:extent cx="187325" cy="190500"/>
            <wp:effectExtent l="0" t="0" r="0" b="0"/>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发展。市人大常委会机关党建品牌荣获市直机关“十佳党</w:t>
      </w:r>
      <w:r>
        <w:rPr>
          <w:color w:val="050100"/>
          <w:spacing w:val="-2"/>
        </w:rPr>
        <w:t>建品牌”。</w:t>
      </w:r>
    </w:p>
    <w:p>
      <w:pPr>
        <w:pStyle w:val="3"/>
        <w:spacing w:before="3" w:line="350" w:lineRule="auto"/>
        <w:ind w:right="111" w:firstLine="623"/>
      </w:pPr>
      <w:r>
        <w:rPr>
          <w:rFonts w:hint="eastAsia" w:ascii="楷体_GB2312" w:hAnsi="楷体_GB2312" w:eastAsia="楷体_GB2312"/>
          <w:color w:val="050100"/>
        </w:rPr>
        <w:t>（三）提升组织活动质量。</w:t>
      </w:r>
      <w:r>
        <w:rPr>
          <w:color w:val="050100"/>
          <w:spacing w:val="10"/>
        </w:rPr>
        <w:t>树立“党建+”“发展+”“服务+”</w:t>
      </w:r>
      <w:r>
        <w:rPr>
          <w:color w:val="050100"/>
          <w:spacing w:val="-6"/>
        </w:rPr>
        <w:t>理念，深入开展“双报到双服务双报告”“开放式主题党日”等活动，</w:t>
      </w:r>
      <w:r>
        <w:rPr>
          <w:color w:val="050100"/>
          <w:spacing w:val="-2"/>
        </w:rPr>
        <w:t>推动机关党组织和党员主动参与滇池治理、文明创建和市域社会治理等。大力推行典型引路法，巩固提升市人大常委会机关“市级行政中心党建示范带”建设，抓好已命名的“党建品牌”“党建示范点”优</w:t>
      </w:r>
      <w:r>
        <w:rPr>
          <w:color w:val="050100"/>
          <w:spacing w:val="-4"/>
        </w:rPr>
        <w:t>化提升。</w:t>
      </w:r>
    </w:p>
    <w:p>
      <w:pPr>
        <w:pStyle w:val="3"/>
        <w:spacing w:before="8" w:line="350" w:lineRule="auto"/>
        <w:ind w:right="111" w:firstLine="623"/>
      </w:pPr>
      <w:r>
        <w:rPr>
          <w:rFonts w:hint="eastAsia" w:ascii="楷体_GB2312" w:hAnsi="楷体_GB2312" w:eastAsia="楷体_GB2312"/>
          <w:color w:val="050100"/>
          <w:spacing w:val="-2"/>
        </w:rPr>
        <w:t>（四）发挥先锋示范作用。</w:t>
      </w:r>
      <w:r>
        <w:rPr>
          <w:color w:val="050100"/>
          <w:spacing w:val="-2"/>
        </w:rPr>
        <w:t>带头旗帜鲜明讲政治，引导和激励党员强化思想政治教育，不断增强党员政治自觉。带头强化党性修养，采取讲党课、集中研讨、红色革命传统现场教学等方式，提升党员思想素质。带头严格自律，定期组织党员严格对照党章党规党纪，进行</w:t>
      </w:r>
      <w:r>
        <w:rPr>
          <w:color w:val="050100"/>
          <w:spacing w:val="-6"/>
        </w:rPr>
        <w:t>政治“体检”，查找薄弱环节，对症下药、整改提升。带头担当负责，设立党员责任区、党员先锋岗，开展“亮身份、树形象、比贡献”“红</w:t>
      </w:r>
      <w:r>
        <w:rPr>
          <w:color w:val="050100"/>
          <w:spacing w:val="-2"/>
        </w:rPr>
        <w:t>星评选”等活动，在创先争优中争先锋、做表率。</w:t>
      </w:r>
    </w:p>
    <w:p>
      <w:pPr>
        <w:pStyle w:val="3"/>
        <w:spacing w:before="10" w:line="350" w:lineRule="auto"/>
        <w:ind w:right="267" w:firstLine="623"/>
        <w:jc w:val="both"/>
      </w:pPr>
      <w:r>
        <w:drawing>
          <wp:anchor distT="0" distB="0" distL="0" distR="0" simplePos="0" relativeHeight="251661312" behindDoc="1" locked="0" layoutInCell="1" allowOverlap="1">
            <wp:simplePos x="0" y="0"/>
            <wp:positionH relativeFrom="page">
              <wp:posOffset>2769870</wp:posOffset>
            </wp:positionH>
            <wp:positionV relativeFrom="paragraph">
              <wp:posOffset>803275</wp:posOffset>
            </wp:positionV>
            <wp:extent cx="187325" cy="1905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anchor>
        </w:drawing>
      </w:r>
      <w:r>
        <w:rPr>
          <w:rFonts w:hint="eastAsia" w:ascii="楷体_GB2312" w:hAnsi="楷体_GB2312" w:eastAsia="楷体_GB2312"/>
          <w:color w:val="050100"/>
          <w:spacing w:val="-2"/>
        </w:rPr>
        <w:t>（</w:t>
      </w:r>
      <w:r>
        <w:rPr>
          <w:rFonts w:hint="eastAsia" w:ascii="楷体_GB2312" w:hAnsi="楷体_GB2312" w:eastAsia="楷体_GB2312"/>
          <w:color w:val="050100"/>
          <w:spacing w:val="-2"/>
          <w:lang w:val="en-US" w:eastAsia="zh-CN"/>
        </w:rPr>
        <w:t>五</w:t>
      </w:r>
      <w:r>
        <w:rPr>
          <w:rFonts w:hint="eastAsia" w:ascii="楷体_GB2312" w:hAnsi="楷体_GB2312" w:eastAsia="楷体_GB2312"/>
          <w:color w:val="050100"/>
          <w:spacing w:val="-2"/>
        </w:rPr>
        <w:t>）党建与业务双促进。</w:t>
      </w:r>
      <w:r>
        <w:rPr>
          <w:color w:val="050100"/>
          <w:spacing w:val="-2"/>
        </w:rPr>
        <w:t>树牢“抓党建、强队伍、促发展”工作理念，党建与业务之间相融互促。推动党建“第一责任”与推动发展“第一要务”有机融，把学习成果体现到业务提升上，把严管党员落实到完成每项具体业务工作上，以党建引领业务工作，以业务工作检验党建成效。</w:t>
      </w:r>
    </w:p>
    <w:p>
      <w:pPr>
        <w:pStyle w:val="3"/>
        <w:spacing w:line="379" w:lineRule="exact"/>
        <w:ind w:left="897"/>
        <w:outlineLvl w:val="0"/>
        <w:rPr>
          <w:rFonts w:ascii="黑体" w:eastAsia="黑体"/>
        </w:rPr>
      </w:pPr>
      <w:bookmarkStart w:id="19" w:name="_Toc17075"/>
      <w:bookmarkStart w:id="20" w:name="_Toc11344"/>
      <w:r>
        <w:rPr>
          <w:rFonts w:ascii="黑体" w:eastAsia="黑体"/>
          <w:color w:val="050100"/>
          <w:spacing w:val="-2"/>
        </w:rPr>
        <w:t>二、经验启示</w:t>
      </w:r>
      <w:bookmarkEnd w:id="19"/>
      <w:bookmarkEnd w:id="20"/>
    </w:p>
    <w:p>
      <w:pPr>
        <w:pStyle w:val="3"/>
        <w:spacing w:before="228" w:line="350" w:lineRule="auto"/>
        <w:ind w:right="271" w:firstLine="623"/>
      </w:pPr>
      <w:r>
        <w:rPr>
          <w:color w:val="050100"/>
          <w:spacing w:val="-2"/>
        </w:rPr>
        <w:t>机关各支部认真贯彻落实上级党组织的各项决策部署，不断夯实党建工作基础，全力推动党建与业务工作双促进双发展。</w:t>
      </w:r>
    </w:p>
    <w:p>
      <w:pPr>
        <w:pStyle w:val="3"/>
        <w:spacing w:before="2"/>
        <w:ind w:left="897"/>
      </w:pPr>
      <w:r>
        <w:rPr>
          <w:rFonts w:hint="eastAsia" w:ascii="楷体_GB2312" w:eastAsia="楷体_GB2312"/>
          <w:color w:val="050100"/>
        </w:rPr>
        <w:t>（一）政治建设是引领。</w:t>
      </w:r>
      <w:r>
        <w:rPr>
          <w:color w:val="050100"/>
          <w:spacing w:val="-1"/>
        </w:rPr>
        <w:t>加强党对人大工作的全面领导，把政治</w:t>
      </w:r>
    </w:p>
    <w:p>
      <w:pPr>
        <w:spacing w:after="0"/>
        <w:sectPr>
          <w:pgSz w:w="11910" w:h="16840"/>
          <w:pgMar w:top="1040" w:right="860" w:bottom="660" w:left="860" w:header="0" w:footer="473" w:gutter="0"/>
          <w:pgNumType w:fmt="decimal"/>
          <w:cols w:space="720" w:num="1"/>
        </w:sectPr>
      </w:pPr>
    </w:p>
    <w:p>
      <w:pPr>
        <w:pStyle w:val="3"/>
        <w:spacing w:before="31" w:line="350" w:lineRule="auto"/>
        <w:ind w:right="268"/>
        <w:jc w:val="both"/>
      </w:pPr>
      <w:r>
        <w:rPr>
          <w:color w:val="050100"/>
          <w:spacing w:val="-2"/>
        </w:rPr>
        <w:t>标准贯穿于机关党的建设全过程，在增强“四个意识”、坚定“四个自信”、做到“两个维护”上重行重效，在贯彻落实党中央决策部署上到底到位。</w:t>
      </w:r>
    </w:p>
    <w:p>
      <w:pPr>
        <w:pStyle w:val="3"/>
        <w:spacing w:before="4" w:line="350" w:lineRule="auto"/>
        <w:ind w:right="268" w:firstLine="623"/>
        <w:jc w:val="both"/>
      </w:pPr>
      <w:r>
        <w:rPr>
          <w:rFonts w:ascii="楷体" w:eastAsia="楷体"/>
          <w:color w:val="050100"/>
          <w:spacing w:val="-2"/>
        </w:rPr>
        <w:t>（二）从严从实是核心。</w:t>
      </w:r>
      <w:r>
        <w:rPr>
          <w:color w:val="050100"/>
          <w:spacing w:val="-2"/>
        </w:rPr>
        <w:t>从责任落实起步，狠抓制度执行，形成工作推动格局。支部工作有思路、有计划、有方法，善于破解工作中的难题，组织开展有自身特色的党建品牌实践活动，形成有自身特质的支部党建品牌文化，凝练有借鉴推广价值的党建工作方法。</w:t>
      </w:r>
    </w:p>
    <w:p>
      <w:pPr>
        <w:pStyle w:val="3"/>
        <w:spacing w:before="6" w:line="350" w:lineRule="auto"/>
        <w:ind w:right="268" w:firstLine="623"/>
        <w:jc w:val="both"/>
      </w:pPr>
      <w:r>
        <w:rPr>
          <w:rFonts w:hint="eastAsia" w:ascii="楷体_GB2312" w:eastAsia="楷体_GB2312"/>
          <w:color w:val="050100"/>
          <w:spacing w:val="-2"/>
        </w:rPr>
        <w:t>（三）担当作为是关键。</w:t>
      </w:r>
      <w:r>
        <w:rPr>
          <w:color w:val="050100"/>
          <w:spacing w:val="-2"/>
        </w:rPr>
        <w:t>坚持把担当作为一种信念，勇于实践，开拓进取，不断增强责任心和使命感。党支部注重建设讲规矩、守纪律、作风硬、敢担当的党员队伍，培养选树先进典型人物，争创一流工作业绩，在关键岗位上，当面对急难险重任务时，党员始终冲锋在前、攻坚克难，永葆共产党员的先进性。</w:t>
      </w:r>
    </w:p>
    <w:p>
      <w:pPr>
        <w:pStyle w:val="3"/>
        <w:spacing w:before="7"/>
        <w:ind w:left="897"/>
        <w:rPr>
          <w:b/>
          <w:bCs/>
        </w:rPr>
      </w:pPr>
      <w:r>
        <w:rPr>
          <w:b/>
          <w:bCs/>
          <w:color w:val="050100"/>
          <w:spacing w:val="-2"/>
        </w:rPr>
        <w:t>【研讨题】</w:t>
      </w:r>
    </w:p>
    <w:p>
      <w:pPr>
        <w:pStyle w:val="10"/>
        <w:numPr>
          <w:ilvl w:val="0"/>
          <w:numId w:val="3"/>
        </w:numPr>
        <w:tabs>
          <w:tab w:val="left" w:pos="1295"/>
        </w:tabs>
        <w:spacing w:before="190" w:after="0" w:line="240" w:lineRule="auto"/>
        <w:ind w:left="1294" w:right="0" w:hanging="398"/>
        <w:jc w:val="left"/>
        <w:rPr>
          <w:sz w:val="32"/>
        </w:rPr>
      </w:pPr>
      <w:r>
        <w:rPr>
          <w:color w:val="050100"/>
          <w:spacing w:val="-3"/>
          <w:sz w:val="32"/>
        </w:rPr>
        <w:t>如何加强党支部标准化、规范化建设，夯实党支部工作基础？</w:t>
      </w:r>
    </w:p>
    <w:p>
      <w:pPr>
        <w:pStyle w:val="10"/>
        <w:numPr>
          <w:ilvl w:val="0"/>
          <w:numId w:val="3"/>
        </w:numPr>
        <w:tabs>
          <w:tab w:val="left" w:pos="1298"/>
        </w:tabs>
        <w:spacing w:before="190" w:after="0" w:line="240" w:lineRule="auto"/>
        <w:ind w:left="1297" w:right="0" w:hanging="401"/>
        <w:jc w:val="left"/>
        <w:rPr>
          <w:sz w:val="32"/>
        </w:rPr>
      </w:pPr>
      <w:r>
        <w:rPr>
          <w:color w:val="050100"/>
          <w:spacing w:val="-1"/>
          <w:sz w:val="32"/>
        </w:rPr>
        <w:t>如何深化主题活动内容，提升支部工作实效？</w:t>
      </w:r>
    </w:p>
    <w:p>
      <w:pPr>
        <w:spacing w:after="0" w:line="240" w:lineRule="auto"/>
        <w:jc w:val="left"/>
        <w:rPr>
          <w:sz w:val="32"/>
        </w:rPr>
        <w:sectPr>
          <w:pgSz w:w="11910" w:h="16840"/>
          <w:pgMar w:top="1040" w:right="860" w:bottom="660" w:left="860" w:header="0" w:footer="473" w:gutter="0"/>
          <w:pgNumType w:fmt="decimal"/>
          <w:cols w:space="720" w:num="1"/>
        </w:sectPr>
      </w:pPr>
    </w:p>
    <w:p>
      <w:pPr>
        <w:pStyle w:val="2"/>
        <w:bidi w:val="0"/>
        <w:rPr>
          <w:rFonts w:hint="eastAsia"/>
        </w:rPr>
      </w:pPr>
      <w:bookmarkStart w:id="21" w:name="_Toc25892"/>
      <w:r>
        <w:rPr>
          <w:rFonts w:hint="eastAsia"/>
        </w:rPr>
        <w:t>老有所为作示范</w:t>
      </w:r>
      <w:r>
        <w:rPr>
          <w:rFonts w:hint="eastAsia"/>
        </w:rPr>
        <w:tab/>
      </w:r>
      <w:r>
        <w:rPr>
          <w:rFonts w:hint="eastAsia"/>
        </w:rPr>
        <w:t>银发生辉展风采</w:t>
      </w:r>
      <w:bookmarkEnd w:id="21"/>
    </w:p>
    <w:p>
      <w:pPr>
        <w:spacing w:before="0" w:line="648" w:lineRule="exact"/>
        <w:ind w:left="0" w:right="0" w:firstLine="0"/>
        <w:jc w:val="center"/>
        <w:rPr>
          <w:rFonts w:hint="eastAsia" w:ascii="方正小标宋_GBK" w:eastAsia="方正小标宋_GBK"/>
          <w:color w:val="231F20"/>
          <w:spacing w:val="-10"/>
          <w:sz w:val="44"/>
        </w:rPr>
      </w:pPr>
    </w:p>
    <w:p>
      <w:pPr>
        <w:pStyle w:val="3"/>
        <w:spacing w:before="291" w:line="350" w:lineRule="auto"/>
        <w:ind w:right="267" w:firstLine="623"/>
        <w:jc w:val="both"/>
      </w:pPr>
      <w:r>
        <w:rPr>
          <w:b/>
          <w:bCs/>
          <w:color w:val="050100"/>
          <w:spacing w:val="-13"/>
        </w:rPr>
        <w:t>【引言】</w:t>
      </w:r>
      <w:r>
        <w:rPr>
          <w:color w:val="050100"/>
          <w:spacing w:val="-13"/>
        </w:rPr>
        <w:t>昆明市人大常委会的</w:t>
      </w:r>
      <w:r>
        <w:rPr>
          <w:color w:val="050100"/>
          <w:spacing w:val="-2"/>
        </w:rPr>
        <w:t>3</w:t>
      </w:r>
      <w:r>
        <w:rPr>
          <w:color w:val="050100"/>
          <w:spacing w:val="-15"/>
        </w:rPr>
        <w:t xml:space="preserve"> 个离退休党支部始终坚持按照“组</w:t>
      </w:r>
      <w:r>
        <w:rPr>
          <w:color w:val="050100"/>
          <w:spacing w:val="-2"/>
        </w:rPr>
        <w:t>织设置好、班子建设好、党员队伍好、学习活动好、作用发挥好、制度建设好”标准，不断强化党员教育管理、夯实阵地建设、丰富活动形式，有力有序推进离退休干部党支部工作。</w:t>
      </w:r>
    </w:p>
    <w:p>
      <w:pPr>
        <w:pStyle w:val="3"/>
        <w:spacing w:before="6" w:line="350" w:lineRule="auto"/>
        <w:ind w:right="269" w:firstLine="623"/>
        <w:jc w:val="both"/>
      </w:pPr>
      <w:r>
        <w:rPr>
          <w:b/>
          <w:bCs/>
          <w:color w:val="050100"/>
          <w:spacing w:val="-2"/>
        </w:rPr>
        <w:t>【摘要】</w:t>
      </w:r>
      <w:r>
        <w:rPr>
          <w:color w:val="050100"/>
          <w:spacing w:val="-2"/>
        </w:rPr>
        <w:t>紧紧围绕中央、省、市委新时代离退休干部党的建设工</w:t>
      </w:r>
      <w:r>
        <w:rPr>
          <w:color w:val="050100"/>
        </w:rPr>
        <w:t>作要求，从“思想教育不松懈”“组织生活实打实”“凝</w:t>
      </w:r>
      <w:r>
        <w:rPr>
          <w:color w:val="050100"/>
          <w:spacing w:val="6"/>
        </w:rPr>
        <w:t>聚</w:t>
      </w:r>
      <w:r>
        <w:rPr>
          <w:color w:val="050100"/>
          <w:position w:val="-3"/>
        </w:rPr>
        <w:drawing>
          <wp:inline distT="0" distB="0" distL="0" distR="0">
            <wp:extent cx="187325" cy="190500"/>
            <wp:effectExtent l="0" t="0" r="0" b="0"/>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力出实</w:t>
      </w:r>
      <w:r>
        <w:rPr>
          <w:color w:val="050100"/>
          <w:spacing w:val="-1"/>
        </w:rPr>
        <w:t>招”“作用发挥见实效”四个方面全面阐述了昆明市人大常委会机关</w:t>
      </w:r>
    </w:p>
    <w:p>
      <w:pPr>
        <w:pStyle w:val="3"/>
        <w:spacing w:before="4" w:line="350" w:lineRule="auto"/>
        <w:ind w:right="267"/>
        <w:jc w:val="both"/>
      </w:pPr>
      <w:r>
        <w:rPr>
          <w:color w:val="050100"/>
        </w:rPr>
        <w:t>3</w:t>
      </w:r>
      <w:r>
        <w:rPr>
          <w:color w:val="050100"/>
          <w:spacing w:val="-17"/>
        </w:rPr>
        <w:t xml:space="preserve"> 个离退休党支部有力有序推进党支部工作的做法和经验，总结了“全</w:t>
      </w:r>
      <w:r>
        <w:rPr>
          <w:color w:val="050100"/>
          <w:spacing w:val="-2"/>
        </w:rPr>
        <w:t>面从严是根本”“发挥作用是关键”“凝聚能量是助推”三个方面的经验启示。</w:t>
      </w:r>
    </w:p>
    <w:p>
      <w:pPr>
        <w:pStyle w:val="3"/>
        <w:spacing w:before="4"/>
        <w:ind w:left="897"/>
      </w:pPr>
      <w:r>
        <w:rPr>
          <w:b/>
          <w:bCs/>
          <w:color w:val="050100"/>
          <w:spacing w:val="-1"/>
        </w:rPr>
        <w:t>【关键词】</w:t>
      </w:r>
      <w:r>
        <w:rPr>
          <w:color w:val="050100"/>
          <w:spacing w:val="-1"/>
        </w:rPr>
        <w:t>离退休党支部、党员教育、党员管理</w:t>
      </w:r>
    </w:p>
    <w:p>
      <w:pPr>
        <w:pStyle w:val="3"/>
        <w:spacing w:before="190"/>
        <w:ind w:left="897"/>
      </w:pPr>
      <w:r>
        <w:rPr>
          <w:b/>
          <w:bCs/>
          <w:color w:val="050100"/>
          <w:spacing w:val="-2"/>
        </w:rPr>
        <w:t>【案例正文】</w:t>
      </w:r>
    </w:p>
    <w:p>
      <w:pPr>
        <w:pStyle w:val="3"/>
        <w:spacing w:before="119"/>
        <w:ind w:left="897"/>
        <w:outlineLvl w:val="0"/>
        <w:rPr>
          <w:rFonts w:ascii="黑体" w:eastAsia="黑体"/>
        </w:rPr>
      </w:pPr>
      <w:bookmarkStart w:id="22" w:name="_Toc29595"/>
      <w:bookmarkStart w:id="23" w:name="_Toc25664"/>
      <w:r>
        <w:rPr>
          <w:rFonts w:ascii="黑体" w:eastAsia="黑体"/>
          <w:color w:val="050100"/>
          <w:spacing w:val="-2"/>
        </w:rPr>
        <w:t>一、主要做法</w:t>
      </w:r>
      <w:bookmarkEnd w:id="22"/>
      <w:bookmarkEnd w:id="23"/>
    </w:p>
    <w:p>
      <w:pPr>
        <w:pStyle w:val="3"/>
        <w:spacing w:before="228" w:line="350" w:lineRule="auto"/>
        <w:ind w:right="267" w:firstLine="623"/>
        <w:jc w:val="both"/>
      </w:pPr>
      <w:r>
        <w:rPr>
          <w:rFonts w:hint="eastAsia" w:ascii="楷体_GB2312" w:hAnsi="楷体_GB2312" w:eastAsia="楷体_GB2312"/>
          <w:color w:val="050100"/>
          <w:spacing w:val="-2"/>
        </w:rPr>
        <w:t>（一）思想教育不松懈。</w:t>
      </w:r>
      <w:r>
        <w:rPr>
          <w:color w:val="050100"/>
          <w:spacing w:val="-2"/>
        </w:rPr>
        <w:t>坚持把学习贯彻习近平新时代中国特色社会主义思想作为首要政治任务，通过会议与活动、学习与讨论、集</w:t>
      </w:r>
      <w:r>
        <w:rPr>
          <w:color w:val="050100"/>
        </w:rPr>
        <w:t>中与走访等相</w:t>
      </w:r>
      <w:r>
        <w:rPr>
          <w:color w:val="050100"/>
          <w:spacing w:val="6"/>
        </w:rPr>
        <w:t>结</w:t>
      </w:r>
      <w:r>
        <w:rPr>
          <w:color w:val="050100"/>
          <w:position w:val="-3"/>
        </w:rPr>
        <w:drawing>
          <wp:inline distT="0" distB="0" distL="0" distR="0">
            <wp:extent cx="187325" cy="190500"/>
            <wp:effectExtent l="0" t="0" r="0" b="0"/>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的方式，组织支部党员认真学习党的创新理论，在</w:t>
      </w:r>
      <w:r>
        <w:rPr>
          <w:color w:val="050100"/>
          <w:spacing w:val="-2"/>
        </w:rPr>
        <w:t>学习中提高政治站位，增强“四个意识”、坚定“四个自信”、做到 “两个维护”。在支部委员带领下，老党员们在讲学习、比进步，讲团结、比奉献的氛围中争当表率。</w:t>
      </w:r>
    </w:p>
    <w:p>
      <w:pPr>
        <w:pStyle w:val="3"/>
        <w:spacing w:before="8" w:line="350" w:lineRule="auto"/>
        <w:ind w:right="269" w:firstLine="623"/>
      </w:pPr>
      <w:r>
        <w:rPr>
          <w:rFonts w:hint="eastAsia" w:ascii="楷体_GB2312" w:eastAsia="楷体_GB2312"/>
          <w:color w:val="050100"/>
          <w:spacing w:val="-2"/>
        </w:rPr>
        <w:t>（二）组织生活实打实。</w:t>
      </w:r>
      <w:r>
        <w:rPr>
          <w:color w:val="050100"/>
          <w:spacing w:val="-2"/>
        </w:rPr>
        <w:t>按照中央《关于加强新时代离退休干部</w:t>
      </w:r>
      <w:r>
        <w:rPr>
          <w:color w:val="050100"/>
          <w:spacing w:val="-1"/>
        </w:rPr>
        <w:t>党的建设工作的意见》要求，充分发挥离退休干部党支部引领作用，</w:t>
      </w:r>
    </w:p>
    <w:p>
      <w:pPr>
        <w:spacing w:after="0" w:line="350" w:lineRule="auto"/>
        <w:sectPr>
          <w:pgSz w:w="11910" w:h="16840"/>
          <w:pgMar w:top="1540" w:right="860" w:bottom="660" w:left="860" w:header="0" w:footer="473" w:gutter="0"/>
          <w:pgNumType w:fmt="decimal"/>
          <w:cols w:space="720" w:num="1"/>
        </w:sectPr>
      </w:pPr>
    </w:p>
    <w:p>
      <w:pPr>
        <w:pStyle w:val="3"/>
        <w:spacing w:before="31" w:line="350" w:lineRule="auto"/>
        <w:ind w:right="268"/>
        <w:jc w:val="both"/>
      </w:pPr>
      <w:r>
        <w:rPr>
          <w:color w:val="050100"/>
          <w:spacing w:val="-2"/>
        </w:rPr>
        <w:t>推动党组织工作规范化，严格组织生活制度，采取“三会一课”、专题讲座、集中培训、参观考察等形式，组织好党员学习教育。针对老党员特点，创建了“一看、二学、三动”组织生活模式：每天看新闻联播，学党章党规、学系列讲话，动腿增加锻炼、动脑活动思维、动手写心得体会。</w:t>
      </w:r>
    </w:p>
    <w:p>
      <w:pPr>
        <w:pStyle w:val="3"/>
        <w:spacing w:before="7" w:line="350" w:lineRule="auto"/>
        <w:ind w:right="111" w:firstLine="623"/>
      </w:pPr>
      <w:r>
        <w:rPr>
          <w:rFonts w:hint="eastAsia" w:ascii="楷体_GB2312" w:hAnsi="楷体_GB2312" w:eastAsia="楷体_GB2312"/>
          <w:color w:val="050100"/>
          <w:spacing w:val="-2"/>
        </w:rPr>
        <w:t>（三）凝聚合力出实招。</w:t>
      </w:r>
      <w:r>
        <w:rPr>
          <w:color w:val="050100"/>
          <w:spacing w:val="-2"/>
        </w:rPr>
        <w:t>在支部书记带领下，班子团结务实，党支部战斗力不断增强，党支部提出了“党员思想教育常态化、树新保</w:t>
      </w:r>
      <w:r>
        <w:rPr>
          <w:color w:val="050100"/>
          <w:spacing w:val="-6"/>
        </w:rPr>
        <w:t>优争先定格化、党员组织生活经常化、养生保健长期化”的工作思路。</w:t>
      </w:r>
      <w:r>
        <w:rPr>
          <w:color w:val="050100"/>
          <w:spacing w:val="-4"/>
        </w:rPr>
        <w:t>依托老年大学，动员老党员积极参加读书班、书画摄影班、</w:t>
      </w:r>
      <w:r>
        <w:rPr>
          <w:color w:val="050100"/>
          <w:position w:val="-2"/>
        </w:rPr>
        <w:drawing>
          <wp:inline distT="0" distB="0" distL="0" distR="0">
            <wp:extent cx="187325" cy="190500"/>
            <wp:effectExtent l="0" t="0" r="0" b="0"/>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spacing w:val="-4"/>
        </w:rPr>
        <w:t>唱班等，</w:t>
      </w:r>
      <w:r>
        <w:rPr>
          <w:color w:val="050100"/>
          <w:spacing w:val="-2"/>
        </w:rPr>
        <w:t>形成形式多样、丰富多彩的老同志兴趣组。创新开展“党支部 + 文体活动”主题党日活动，做到“年年有主题、月月有计划”，进一步激发老干部参加兴趣活动的热情。</w:t>
      </w:r>
    </w:p>
    <w:p>
      <w:pPr>
        <w:pStyle w:val="3"/>
        <w:spacing w:before="10" w:line="350" w:lineRule="auto"/>
        <w:ind w:right="269" w:firstLine="623"/>
        <w:jc w:val="both"/>
      </w:pPr>
      <w:r>
        <w:rPr>
          <w:rFonts w:hint="eastAsia" w:ascii="楷体_GB2312" w:eastAsia="楷体_GB2312"/>
          <w:color w:val="050100"/>
          <w:spacing w:val="-2"/>
        </w:rPr>
        <w:t>（四）作用发挥见实效。</w:t>
      </w:r>
      <w:r>
        <w:rPr>
          <w:color w:val="050100"/>
          <w:spacing w:val="-2"/>
        </w:rPr>
        <w:t>积极引导鼓励老同志迈开步、走出门，在生态环境保护、疫情防控、乡村振兴、民族团结等重点工作方面发挥力所能及的作用，既帮助老同志实现晚年人生价值，也促使老同志在服务社会中自我激励、自我教育。在建党一百周年之际，积极参加创建机关党史党建陈列室工作，认真参与专题片拍摄，讲述党史和亲历的感人的故事。在打赢疫情防控阻击战中，积极组建老年志愿队伍参加疫情防控阻击战，以阳光心态，积极行动，为疫情防控作出力所能及的贡献。</w:t>
      </w:r>
    </w:p>
    <w:p>
      <w:pPr>
        <w:pStyle w:val="3"/>
        <w:spacing w:line="327" w:lineRule="exact"/>
        <w:ind w:left="897"/>
        <w:outlineLvl w:val="0"/>
        <w:rPr>
          <w:rFonts w:ascii="黑体" w:eastAsia="黑体"/>
        </w:rPr>
      </w:pPr>
      <w:bookmarkStart w:id="24" w:name="_Toc32106"/>
      <w:bookmarkStart w:id="25" w:name="_Toc2259"/>
      <w:r>
        <w:rPr>
          <w:rFonts w:ascii="黑体" w:eastAsia="黑体"/>
          <w:color w:val="050100"/>
          <w:spacing w:val="-2"/>
        </w:rPr>
        <w:t>二、经验启示</w:t>
      </w:r>
      <w:bookmarkEnd w:id="24"/>
      <w:bookmarkEnd w:id="25"/>
    </w:p>
    <w:p>
      <w:pPr>
        <w:pStyle w:val="3"/>
        <w:spacing w:before="227" w:line="350" w:lineRule="auto"/>
        <w:ind w:right="266" w:firstLine="623"/>
      </w:pPr>
      <w:r>
        <w:rPr>
          <w:color w:val="050100"/>
        </w:rPr>
        <w:t>经过三年努力，3</w:t>
      </w:r>
      <w:r>
        <w:rPr>
          <w:color w:val="050100"/>
          <w:spacing w:val="-7"/>
        </w:rPr>
        <w:t xml:space="preserve"> 个离退休党支部分别获得云南省“离退休示范</w:t>
      </w:r>
      <w:r>
        <w:rPr>
          <w:color w:val="050100"/>
          <w:spacing w:val="-2"/>
        </w:rPr>
        <w:t>党支部”和昆明市“离退休示范党支部”的荣誉称号。</w:t>
      </w:r>
    </w:p>
    <w:p>
      <w:pPr>
        <w:pStyle w:val="3"/>
        <w:spacing w:before="3"/>
        <w:ind w:left="897"/>
      </w:pPr>
      <w:r>
        <w:rPr>
          <w:rFonts w:hint="eastAsia" w:ascii="楷体_GB2312" w:eastAsia="楷体_GB2312"/>
          <w:color w:val="050100"/>
        </w:rPr>
        <w:t>（一</w:t>
      </w:r>
      <w:r>
        <w:rPr>
          <w:rFonts w:hint="eastAsia" w:ascii="楷体_GB2312" w:eastAsia="楷体_GB2312"/>
          <w:color w:val="050100"/>
          <w:spacing w:val="-53"/>
        </w:rPr>
        <w:t>）</w:t>
      </w:r>
      <w:r>
        <w:rPr>
          <w:rFonts w:hint="eastAsia" w:ascii="楷体_GB2312" w:eastAsia="楷体_GB2312"/>
          <w:color w:val="050100"/>
          <w:spacing w:val="-7"/>
        </w:rPr>
        <w:t>全面从严是根本。</w:t>
      </w:r>
      <w:r>
        <w:rPr>
          <w:color w:val="050100"/>
          <w:spacing w:val="-1"/>
        </w:rPr>
        <w:t>离退休党员干部是党员的重要组成部分。</w:t>
      </w:r>
    </w:p>
    <w:p>
      <w:pPr>
        <w:spacing w:after="0"/>
        <w:sectPr>
          <w:pgSz w:w="11910" w:h="16840"/>
          <w:pgMar w:top="1040" w:right="860" w:bottom="660" w:left="860" w:header="0" w:footer="473" w:gutter="0"/>
          <w:pgNumType w:fmt="decimal"/>
          <w:cols w:space="720" w:num="1"/>
        </w:sectPr>
      </w:pPr>
    </w:p>
    <w:p>
      <w:pPr>
        <w:pStyle w:val="3"/>
        <w:spacing w:before="31" w:line="350" w:lineRule="auto"/>
        <w:ind w:right="111"/>
      </w:pPr>
      <w:r>
        <w:rPr>
          <w:color w:val="050100"/>
          <w:spacing w:val="-2"/>
        </w:rPr>
        <w:t>做好离退休党组织建设要坚持以政治建设为统领，采用多种形式、有</w:t>
      </w:r>
      <w:r>
        <w:rPr>
          <w:color w:val="050100"/>
          <w:spacing w:val="-6"/>
        </w:rPr>
        <w:t>针对性地开展政治忠诚教育，要通过开展争创“离退休示范党支部”，</w:t>
      </w:r>
      <w:r>
        <w:rPr>
          <w:color w:val="050100"/>
          <w:spacing w:val="-2"/>
        </w:rPr>
        <w:t>加强老干部党组织全面建设，实现全面过硬，确保离退休干部党员在哪里，党的组织就建到哪里。</w:t>
      </w:r>
    </w:p>
    <w:p>
      <w:pPr>
        <w:pStyle w:val="3"/>
        <w:spacing w:before="5" w:line="350" w:lineRule="auto"/>
        <w:ind w:right="111" w:firstLine="623"/>
      </w:pPr>
      <w:r>
        <w:rPr>
          <w:rFonts w:hint="eastAsia" w:ascii="楷体_GB2312" w:hAnsi="楷体_GB2312" w:eastAsia="楷体_GB2312"/>
          <w:color w:val="050100"/>
          <w:spacing w:val="-2"/>
        </w:rPr>
        <w:t>（二）发挥作用是关键。</w:t>
      </w:r>
      <w:r>
        <w:rPr>
          <w:color w:val="050100"/>
          <w:spacing w:val="-2"/>
        </w:rPr>
        <w:t>加强离退休干部党的建设的重要保证就是充分发挥好离退休干部的作用。离退休老干部党员要坚持党的意识</w:t>
      </w:r>
      <w:r>
        <w:rPr>
          <w:color w:val="050100"/>
          <w:spacing w:val="-6"/>
        </w:rPr>
        <w:t>不弱化、党员标准不降低，退休不褪色，永葆共产党员的青春与活力，</w:t>
      </w:r>
      <w:r>
        <w:rPr>
          <w:color w:val="050100"/>
          <w:spacing w:val="-2"/>
        </w:rPr>
        <w:t>加强老干部队伍建设有利于加强对离退休党员的教育管理和监督，建强具有自身特色、有社会影响力的离退休干部党组织，实现老干部的作用发挥由“自发型”向“有序型”转变。</w:t>
      </w:r>
    </w:p>
    <w:p>
      <w:pPr>
        <w:pStyle w:val="3"/>
        <w:spacing w:before="9" w:line="350" w:lineRule="auto"/>
        <w:ind w:right="267" w:firstLine="623"/>
        <w:jc w:val="both"/>
      </w:pPr>
      <w:r>
        <w:drawing>
          <wp:anchor distT="0" distB="0" distL="0" distR="0" simplePos="0" relativeHeight="251659264" behindDoc="0" locked="0" layoutInCell="1" allowOverlap="1">
            <wp:simplePos x="0" y="0"/>
            <wp:positionH relativeFrom="page">
              <wp:posOffset>1341120</wp:posOffset>
            </wp:positionH>
            <wp:positionV relativeFrom="paragraph">
              <wp:posOffset>1564005</wp:posOffset>
            </wp:positionV>
            <wp:extent cx="187325" cy="1905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a:picLocks noChangeAspect="1"/>
                    </pic:cNvPicPr>
                  </pic:nvPicPr>
                  <pic:blipFill>
                    <a:blip r:embed="rId13" cstate="print"/>
                    <a:stretch>
                      <a:fillRect/>
                    </a:stretch>
                  </pic:blipFill>
                  <pic:spPr>
                    <a:xfrm>
                      <a:off x="0" y="0"/>
                      <a:ext cx="187324" cy="190500"/>
                    </a:xfrm>
                    <a:prstGeom prst="rect">
                      <a:avLst/>
                    </a:prstGeom>
                  </pic:spPr>
                </pic:pic>
              </a:graphicData>
            </a:graphic>
          </wp:anchor>
        </w:drawing>
      </w:r>
      <w:r>
        <w:rPr>
          <w:rFonts w:hint="eastAsia" w:ascii="楷体_GB2312" w:hAnsi="楷体_GB2312" w:eastAsia="楷体_GB2312"/>
          <w:color w:val="050100"/>
          <w:spacing w:val="-2"/>
        </w:rPr>
        <w:t>（三）凝聚能量是助推。</w:t>
      </w:r>
      <w:r>
        <w:rPr>
          <w:color w:val="050100"/>
          <w:spacing w:val="-2"/>
        </w:rPr>
        <w:t xml:space="preserve">扩大和汇聚党员正能量是离退休干部党建工作的重要内容。离退休党支部通过创新组织生活方式，积极开展 </w:t>
      </w:r>
      <w:r>
        <w:rPr>
          <w:color w:val="050100"/>
          <w:spacing w:val="-16"/>
        </w:rPr>
        <w:t>“支部 + 学习教育”强筋健骨补好钙、“支部 + 组织凝聚”组织生活</w:t>
      </w:r>
      <w:r>
        <w:rPr>
          <w:color w:val="050100"/>
          <w:spacing w:val="-2"/>
        </w:rPr>
        <w:t>聚</w:t>
      </w:r>
      <w:r>
        <w:rPr>
          <w:color w:val="050100"/>
          <w:position w:val="-2"/>
        </w:rPr>
        <w:drawing>
          <wp:inline distT="0" distB="0" distL="0" distR="0">
            <wp:extent cx="187325" cy="190500"/>
            <wp:effectExtent l="0" t="0" r="0" b="0"/>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spacing w:val="-2"/>
        </w:rPr>
        <w:t>力、“支部</w:t>
      </w:r>
      <w:r>
        <w:rPr>
          <w:color w:val="050100"/>
          <w:spacing w:val="-34"/>
        </w:rPr>
        <w:t xml:space="preserve"> </w:t>
      </w:r>
      <w:r>
        <w:rPr>
          <w:color w:val="050100"/>
          <w:spacing w:val="-2"/>
        </w:rPr>
        <w:t>+</w:t>
      </w:r>
      <w:r>
        <w:rPr>
          <w:color w:val="050100"/>
          <w:spacing w:val="-34"/>
        </w:rPr>
        <w:t xml:space="preserve"> </w:t>
      </w:r>
      <w:r>
        <w:rPr>
          <w:color w:val="050100"/>
          <w:spacing w:val="-2"/>
        </w:rPr>
        <w:t>银发先锋”志愿服务添正能，将党建工作与服务工作相结，满足老干部精神文化方面的正向需求，激发老干部发挥余热，增强离退休干部党组织的凝聚力、向心力和战斗力。</w:t>
      </w:r>
    </w:p>
    <w:p>
      <w:pPr>
        <w:pStyle w:val="3"/>
        <w:spacing w:before="8"/>
        <w:ind w:left="897"/>
      </w:pPr>
      <w:r>
        <w:rPr>
          <w:b/>
          <w:bCs/>
          <w:color w:val="050100"/>
          <w:spacing w:val="-2"/>
        </w:rPr>
        <w:t>【研讨题】</w:t>
      </w:r>
    </w:p>
    <w:p>
      <w:pPr>
        <w:pStyle w:val="10"/>
        <w:numPr>
          <w:ilvl w:val="0"/>
          <w:numId w:val="4"/>
        </w:numPr>
        <w:tabs>
          <w:tab w:val="left" w:pos="1293"/>
        </w:tabs>
        <w:spacing w:before="190" w:after="0" w:line="240" w:lineRule="auto"/>
        <w:ind w:left="1292" w:right="0" w:hanging="396"/>
        <w:jc w:val="left"/>
        <w:rPr>
          <w:sz w:val="32"/>
        </w:rPr>
      </w:pPr>
      <w:r>
        <w:rPr>
          <w:color w:val="050100"/>
          <w:spacing w:val="-3"/>
          <w:sz w:val="32"/>
        </w:rPr>
        <w:t>如何坚持离退休党员思想教育常态化，做到老有所为作示范？</w:t>
      </w:r>
    </w:p>
    <w:p>
      <w:pPr>
        <w:pStyle w:val="10"/>
        <w:numPr>
          <w:ilvl w:val="0"/>
          <w:numId w:val="4"/>
        </w:numPr>
        <w:tabs>
          <w:tab w:val="left" w:pos="1293"/>
        </w:tabs>
        <w:spacing w:before="190" w:after="0" w:line="240" w:lineRule="auto"/>
        <w:ind w:left="1292" w:right="0" w:hanging="396"/>
        <w:jc w:val="left"/>
        <w:rPr>
          <w:sz w:val="32"/>
        </w:rPr>
      </w:pPr>
      <w:r>
        <w:rPr>
          <w:color w:val="050100"/>
          <w:spacing w:val="-3"/>
          <w:sz w:val="32"/>
        </w:rPr>
        <w:t>坚持活动常态化，凝聚离退休党支部发挥作用的正能量</w:t>
      </w:r>
      <w:r>
        <w:rPr>
          <w:rFonts w:hint="eastAsia"/>
          <w:color w:val="050100"/>
          <w:spacing w:val="-3"/>
          <w:sz w:val="32"/>
          <w:lang w:eastAsia="zh-CN"/>
        </w:rPr>
        <w:t>。</w:t>
      </w:r>
    </w:p>
    <w:p>
      <w:pPr>
        <w:spacing w:after="0" w:line="240" w:lineRule="auto"/>
        <w:jc w:val="left"/>
        <w:rPr>
          <w:sz w:val="32"/>
        </w:rPr>
        <w:sectPr>
          <w:pgSz w:w="11910" w:h="16840"/>
          <w:pgMar w:top="1040" w:right="860" w:bottom="660" w:left="860" w:header="0" w:footer="473" w:gutter="0"/>
          <w:pgNumType w:fmt="decimal"/>
          <w:cols w:space="720" w:num="1"/>
        </w:sectPr>
      </w:pPr>
    </w:p>
    <w:p>
      <w:pPr>
        <w:pStyle w:val="2"/>
        <w:bidi w:val="0"/>
        <w:rPr>
          <w:rFonts w:hint="eastAsia" w:ascii="方正小标宋_GBK" w:eastAsia="方正小标宋_GBK"/>
          <w:color w:val="231F20"/>
          <w:spacing w:val="-4"/>
          <w:lang w:val="en-US" w:eastAsia="zh-CN"/>
        </w:rPr>
      </w:pPr>
      <w:bookmarkStart w:id="26" w:name="_Toc6482"/>
      <w:r>
        <w:rPr>
          <w:rFonts w:hint="eastAsia"/>
          <w:lang w:val="en-US" w:eastAsia="zh-CN"/>
        </w:rPr>
        <w:t>“五个结合”助推  彰显担当作为</w:t>
      </w:r>
      <w:bookmarkEnd w:id="26"/>
    </w:p>
    <w:p>
      <w:pPr>
        <w:spacing w:before="0" w:line="648" w:lineRule="exact"/>
        <w:ind w:left="0" w:right="0" w:firstLine="0"/>
        <w:jc w:val="center"/>
        <w:rPr>
          <w:rFonts w:hint="eastAsia" w:ascii="方正小标宋_GBK" w:eastAsia="方正小标宋_GBK"/>
          <w:color w:val="231F20"/>
          <w:spacing w:val="-4"/>
          <w:sz w:val="44"/>
          <w:lang w:val="en-US" w:eastAsia="zh-CN"/>
        </w:rPr>
      </w:pPr>
    </w:p>
    <w:p>
      <w:pPr>
        <w:pStyle w:val="3"/>
        <w:spacing w:before="350" w:line="350" w:lineRule="auto"/>
        <w:ind w:right="268" w:firstLine="623"/>
        <w:jc w:val="both"/>
      </w:pPr>
      <w:r>
        <w:rPr>
          <w:b/>
          <w:bCs/>
          <w:color w:val="050100"/>
          <w:spacing w:val="-2"/>
        </w:rPr>
        <w:t>【引言】</w:t>
      </w:r>
      <w:r>
        <w:rPr>
          <w:color w:val="050100"/>
          <w:spacing w:val="-2"/>
        </w:rPr>
        <w:t>昆明市人大常委会坚持把建设代表活动阵地作为人大代</w:t>
      </w:r>
      <w:r>
        <w:rPr>
          <w:color w:val="050100"/>
        </w:rPr>
        <w:t>表发挥作用的重要载体。代表活动站(室)基本上均由党员代表担</w:t>
      </w:r>
      <w:r>
        <w:rPr>
          <w:color w:val="050100"/>
          <w:spacing w:val="-2"/>
        </w:rPr>
        <w:t>任站长，以“建”为抓手，以“管”为路径，以“用”为目标，持续推进代表活动阵地建设。</w:t>
      </w:r>
    </w:p>
    <w:p>
      <w:pPr>
        <w:pStyle w:val="3"/>
        <w:spacing w:before="6" w:line="350" w:lineRule="auto"/>
        <w:ind w:right="254" w:firstLine="623"/>
        <w:jc w:val="both"/>
      </w:pPr>
      <w:r>
        <w:rPr>
          <w:color w:val="050100"/>
          <w:spacing w:val="16"/>
        </w:rPr>
        <w:t>【</w:t>
      </w:r>
      <w:r>
        <w:rPr>
          <w:b/>
          <w:bCs/>
          <w:color w:val="050100"/>
          <w:spacing w:val="16"/>
        </w:rPr>
        <w:t>摘</w:t>
      </w:r>
      <w:r>
        <w:rPr>
          <w:b/>
          <w:bCs/>
          <w:color w:val="050100"/>
        </w:rPr>
        <w:t>要</w:t>
      </w:r>
      <w:r>
        <w:rPr>
          <w:color w:val="050100"/>
          <w:spacing w:val="15"/>
        </w:rPr>
        <w:t>】</w:t>
      </w:r>
      <w:r>
        <w:rPr>
          <w:color w:val="050100"/>
          <w:spacing w:val="16"/>
        </w:rPr>
        <w:t>坚持以人民为中心的发展理</w:t>
      </w:r>
      <w:r>
        <w:rPr>
          <w:color w:val="050100"/>
        </w:rPr>
        <w:t>念</w:t>
      </w:r>
      <w:r>
        <w:rPr>
          <w:color w:val="050100"/>
          <w:spacing w:val="16"/>
        </w:rPr>
        <w:t>，</w:t>
      </w:r>
      <w:r>
        <w:rPr>
          <w:color w:val="050100"/>
        </w:rPr>
        <w:t>从</w:t>
      </w:r>
      <w:r>
        <w:rPr>
          <w:color w:val="050100"/>
          <w:spacing w:val="16"/>
        </w:rPr>
        <w:t>“</w:t>
      </w:r>
      <w:r>
        <w:rPr>
          <w:color w:val="050100"/>
          <w:spacing w:val="21"/>
        </w:rPr>
        <w:t>结</w:t>
      </w:r>
      <w:r>
        <w:rPr>
          <w:color w:val="050100"/>
          <w:position w:val="-3"/>
        </w:rPr>
        <w:drawing>
          <wp:inline distT="0" distB="0" distL="0" distR="0">
            <wp:extent cx="187325" cy="190500"/>
            <wp:effectExtent l="0" t="0" r="0" b="0"/>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spacing w:val="16"/>
        </w:rPr>
        <w:t>中心开展活</w:t>
      </w:r>
      <w:r>
        <w:rPr>
          <w:color w:val="050100"/>
        </w:rPr>
        <w:t>动”“</w:t>
      </w:r>
      <w:r>
        <w:rPr>
          <w:color w:val="050100"/>
          <w:spacing w:val="12"/>
        </w:rPr>
        <w:t>结</w:t>
      </w:r>
      <w:r>
        <w:rPr>
          <w:color w:val="050100"/>
          <w:position w:val="-3"/>
        </w:rPr>
        <w:drawing>
          <wp:inline distT="0" distB="0" distL="0" distR="0">
            <wp:extent cx="187325" cy="190500"/>
            <wp:effectExtent l="0" t="0" r="0" b="0"/>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工作抓好学习”“</w:t>
      </w:r>
      <w:r>
        <w:rPr>
          <w:color w:val="050100"/>
          <w:spacing w:val="12"/>
        </w:rPr>
        <w:t>结</w:t>
      </w:r>
      <w:r>
        <w:rPr>
          <w:color w:val="050100"/>
          <w:position w:val="-3"/>
        </w:rPr>
        <w:drawing>
          <wp:inline distT="0" distB="0" distL="0" distR="0">
            <wp:extent cx="187325" cy="190500"/>
            <wp:effectExtent l="0" t="0" r="0" b="0"/>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治理做好工作”“</w:t>
      </w:r>
      <w:r>
        <w:rPr>
          <w:color w:val="050100"/>
          <w:spacing w:val="12"/>
        </w:rPr>
        <w:t>结</w:t>
      </w:r>
      <w:r>
        <w:rPr>
          <w:color w:val="050100"/>
          <w:position w:val="-3"/>
        </w:rPr>
        <w:drawing>
          <wp:inline distT="0" distB="0" distL="0" distR="0">
            <wp:extent cx="187325" cy="190500"/>
            <wp:effectExtent l="0" t="0" r="0" b="0"/>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民情提出建议”“</w:t>
      </w:r>
      <w:r>
        <w:rPr>
          <w:color w:val="050100"/>
          <w:spacing w:val="6"/>
        </w:rPr>
        <w:t>结</w:t>
      </w:r>
      <w:r>
        <w:rPr>
          <w:color w:val="050100"/>
          <w:position w:val="-3"/>
        </w:rPr>
        <w:drawing>
          <wp:inline distT="0" distB="0" distL="0" distR="0">
            <wp:extent cx="187325" cy="190500"/>
            <wp:effectExtent l="0" t="0" r="0" b="0"/>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履职做好服务”五个方面阐述了昆明市人大代表活动阵地建设的经验和做法</w:t>
      </w:r>
      <w:r>
        <w:rPr>
          <w:color w:val="050100"/>
          <w:spacing w:val="-101"/>
        </w:rPr>
        <w:t>，</w:t>
      </w:r>
      <w:r>
        <w:rPr>
          <w:color w:val="050100"/>
        </w:rPr>
        <w:t>总结</w:t>
      </w:r>
      <w:r>
        <w:rPr>
          <w:color w:val="050100"/>
          <w:spacing w:val="-101"/>
        </w:rPr>
        <w:t>了</w:t>
      </w:r>
      <w:r>
        <w:rPr>
          <w:color w:val="050100"/>
        </w:rPr>
        <w:t>“搭建平台是关键</w:t>
      </w:r>
      <w:r>
        <w:rPr>
          <w:color w:val="050100"/>
          <w:spacing w:val="-201"/>
        </w:rPr>
        <w:t>”</w:t>
      </w:r>
      <w:r>
        <w:rPr>
          <w:color w:val="050100"/>
        </w:rPr>
        <w:t>“</w:t>
      </w:r>
      <w:r>
        <w:rPr>
          <w:color w:val="050100"/>
          <w:spacing w:val="5"/>
        </w:rPr>
        <w:t>整</w:t>
      </w:r>
      <w:r>
        <w:rPr>
          <w:color w:val="050100"/>
          <w:position w:val="-3"/>
        </w:rPr>
        <w:drawing>
          <wp:inline distT="0" distB="0" distL="0" distR="0">
            <wp:extent cx="187325" cy="190500"/>
            <wp:effectExtent l="0" t="0" r="0" b="0"/>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资源是核心</w:t>
      </w:r>
      <w:r>
        <w:rPr>
          <w:color w:val="050100"/>
          <w:spacing w:val="-201"/>
        </w:rPr>
        <w:t>”</w:t>
      </w:r>
      <w:r>
        <w:rPr>
          <w:color w:val="050100"/>
        </w:rPr>
        <w:t>“作</w:t>
      </w:r>
      <w:r>
        <w:rPr>
          <w:color w:val="050100"/>
          <w:spacing w:val="-2"/>
        </w:rPr>
        <w:t>用发挥是目的”三个方面的经验启示。</w:t>
      </w:r>
    </w:p>
    <w:p>
      <w:pPr>
        <w:pStyle w:val="3"/>
        <w:spacing w:before="7"/>
        <w:ind w:left="897"/>
      </w:pPr>
      <w:r>
        <w:rPr>
          <w:color w:val="050100"/>
          <w:spacing w:val="-1"/>
        </w:rPr>
        <w:t>【</w:t>
      </w:r>
      <w:r>
        <w:rPr>
          <w:b/>
          <w:bCs/>
          <w:color w:val="050100"/>
          <w:spacing w:val="-1"/>
        </w:rPr>
        <w:t>关键词</w:t>
      </w:r>
      <w:r>
        <w:rPr>
          <w:color w:val="050100"/>
          <w:spacing w:val="-1"/>
        </w:rPr>
        <w:t>】人大代表活动阵地、为民服务</w:t>
      </w:r>
    </w:p>
    <w:p>
      <w:pPr>
        <w:pStyle w:val="3"/>
        <w:spacing w:before="190"/>
        <w:ind w:left="897"/>
      </w:pPr>
      <w:r>
        <w:rPr>
          <w:color w:val="050100"/>
          <w:spacing w:val="-2"/>
        </w:rPr>
        <w:t>【</w:t>
      </w:r>
      <w:r>
        <w:rPr>
          <w:b/>
          <w:bCs/>
          <w:color w:val="050100"/>
          <w:spacing w:val="-2"/>
        </w:rPr>
        <w:t>案例正文</w:t>
      </w:r>
      <w:r>
        <w:rPr>
          <w:color w:val="050100"/>
          <w:spacing w:val="-2"/>
        </w:rPr>
        <w:t>】</w:t>
      </w:r>
    </w:p>
    <w:p>
      <w:pPr>
        <w:pStyle w:val="3"/>
        <w:spacing w:before="166"/>
        <w:ind w:left="897"/>
        <w:outlineLvl w:val="0"/>
        <w:rPr>
          <w:rFonts w:ascii="黑体" w:eastAsia="黑体"/>
        </w:rPr>
      </w:pPr>
      <w:bookmarkStart w:id="27" w:name="_Toc6359"/>
      <w:bookmarkStart w:id="28" w:name="_Toc351"/>
      <w:r>
        <w:rPr>
          <w:rFonts w:ascii="黑体" w:eastAsia="黑体"/>
          <w:color w:val="050100"/>
          <w:spacing w:val="-2"/>
        </w:rPr>
        <w:t>一、主要做法</w:t>
      </w:r>
      <w:bookmarkEnd w:id="27"/>
      <w:bookmarkEnd w:id="28"/>
    </w:p>
    <w:p>
      <w:pPr>
        <w:pStyle w:val="3"/>
        <w:spacing w:before="228" w:line="350" w:lineRule="auto"/>
        <w:ind w:right="111" w:firstLine="717"/>
      </w:pPr>
      <w:r>
        <w:rPr>
          <w:rFonts w:hint="eastAsia" w:ascii="楷体_GB2312" w:hAnsi="楷体_GB2312" w:eastAsia="楷体_GB2312" w:cs="楷体_GB2312"/>
          <w:color w:val="050100"/>
          <w:spacing w:val="-2"/>
        </w:rPr>
        <w:t>（一</w:t>
      </w:r>
      <w:r>
        <w:rPr>
          <w:rFonts w:hint="eastAsia" w:ascii="楷体_GB2312" w:hAnsi="楷体_GB2312" w:eastAsia="楷体_GB2312" w:cs="楷体_GB2312"/>
          <w:color w:val="050100"/>
          <w:spacing w:val="-67"/>
        </w:rPr>
        <w:t>）</w:t>
      </w:r>
      <w:r>
        <w:rPr>
          <w:rFonts w:hint="eastAsia" w:ascii="楷体_GB2312" w:eastAsia="楷体_GB2312"/>
          <w:color w:val="050100"/>
          <w:spacing w:val="-10"/>
        </w:rPr>
        <w:t>结合中心开展活动。</w:t>
      </w:r>
      <w:r>
        <w:rPr>
          <w:color w:val="050100"/>
          <w:spacing w:val="-10"/>
        </w:rPr>
        <w:t>紧扣贯彻落实中央、省市委决策部署，</w:t>
      </w:r>
      <w:r>
        <w:rPr>
          <w:color w:val="050100"/>
          <w:spacing w:val="-2"/>
        </w:rPr>
        <w:t>围绕全市工作大局，针对地方经济社会发展、民主法治建设、市域社会治理中的重大问题和人民群众普遍关注的热点难点问题，精心拟定代表小组活动主题，依托代表活动阵地组织代表小组活动，助推代表工作提质增效。</w:t>
      </w:r>
    </w:p>
    <w:p>
      <w:pPr>
        <w:pStyle w:val="3"/>
        <w:spacing w:before="7" w:line="350" w:lineRule="auto"/>
        <w:ind w:right="111" w:firstLine="623"/>
      </w:pPr>
      <w:r>
        <w:rPr>
          <w:rFonts w:hint="eastAsia" w:ascii="楷体_GB2312" w:eastAsia="楷体_GB2312"/>
          <w:color w:val="050100"/>
          <w:spacing w:val="-4"/>
        </w:rPr>
        <w:t>（二）结合工作抓好学习。</w:t>
      </w:r>
      <w:r>
        <w:rPr>
          <w:color w:val="050100"/>
          <w:spacing w:val="-4"/>
        </w:rPr>
        <w:t>在开展视察、执法检查、调研工作时，</w:t>
      </w:r>
      <w:r>
        <w:rPr>
          <w:color w:val="050100"/>
          <w:spacing w:val="-2"/>
        </w:rPr>
        <w:t>集中在代表活动阵地，有重点、有针对性地组织代表开展学习，为履行职责打好基础。代表把要素部门、企业、乡级、村级、农户组织起来，推动代表联系群众工作走深走实。</w:t>
      </w:r>
    </w:p>
    <w:p>
      <w:pPr>
        <w:spacing w:after="0" w:line="350" w:lineRule="auto"/>
        <w:sectPr>
          <w:pgSz w:w="11910" w:h="16840"/>
          <w:pgMar w:top="1540" w:right="860" w:bottom="660" w:left="860" w:header="0" w:footer="473" w:gutter="0"/>
          <w:pgNumType w:fmt="decimal"/>
          <w:cols w:space="720" w:num="1"/>
        </w:sectPr>
      </w:pPr>
    </w:p>
    <w:p>
      <w:pPr>
        <w:pStyle w:val="3"/>
        <w:spacing w:before="31" w:line="350" w:lineRule="auto"/>
        <w:ind w:right="268" w:firstLine="623"/>
        <w:jc w:val="both"/>
      </w:pPr>
      <w:r>
        <w:drawing>
          <wp:anchor distT="0" distB="0" distL="0" distR="0" simplePos="0" relativeHeight="251662336" behindDoc="1" locked="0" layoutInCell="1" allowOverlap="1">
            <wp:simplePos x="0" y="0"/>
            <wp:positionH relativeFrom="page">
              <wp:posOffset>5625465</wp:posOffset>
            </wp:positionH>
            <wp:positionV relativeFrom="paragraph">
              <wp:posOffset>53975</wp:posOffset>
            </wp:positionV>
            <wp:extent cx="187325" cy="190500"/>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anchor>
        </w:drawing>
      </w:r>
      <w:r>
        <w:rPr>
          <w:rFonts w:hint="eastAsia" w:ascii="楷体_GB2312" w:hAnsi="楷体_GB2312" w:eastAsia="楷体_GB2312"/>
          <w:color w:val="050100"/>
          <w:spacing w:val="-2"/>
        </w:rPr>
        <w:t>（三）结合治理做好工作。</w:t>
      </w:r>
      <w:r>
        <w:rPr>
          <w:color w:val="050100"/>
          <w:spacing w:val="-2"/>
        </w:rPr>
        <w:t>利用代表活动阵地，整党、政、群和人大力量，由相关领导牵头，定期接待群众反映问题。接访收集的问题，分类移交相关职能部门研究处理，既推动政府改进工作、保障民生，也更好代表民意、加强监督。通过设立人大代表工作站、人大代表联络室和专业代表工作站等形式，构建了覆盖广、触角深的民情信息网，让人大代表履职更有成效。</w:t>
      </w:r>
    </w:p>
    <w:p>
      <w:pPr>
        <w:pStyle w:val="3"/>
        <w:spacing w:before="8" w:line="350" w:lineRule="auto"/>
        <w:ind w:right="111" w:firstLine="623"/>
      </w:pPr>
      <w:r>
        <w:rPr>
          <w:rFonts w:hint="eastAsia" w:ascii="楷体_GB2312" w:eastAsia="楷体_GB2312"/>
          <w:color w:val="050100"/>
          <w:spacing w:val="-2"/>
        </w:rPr>
        <w:t>（四</w:t>
      </w:r>
      <w:r>
        <w:rPr>
          <w:rFonts w:hint="eastAsia" w:ascii="楷体_GB2312" w:eastAsia="楷体_GB2312"/>
          <w:color w:val="050100"/>
          <w:spacing w:val="-53"/>
        </w:rPr>
        <w:t>）</w:t>
      </w:r>
      <w:r>
        <w:rPr>
          <w:rFonts w:hint="eastAsia" w:ascii="楷体_GB2312" w:eastAsia="楷体_GB2312"/>
          <w:color w:val="050100"/>
          <w:spacing w:val="-8"/>
        </w:rPr>
        <w:t>结合民情提出建议。</w:t>
      </w:r>
      <w:r>
        <w:rPr>
          <w:color w:val="050100"/>
          <w:spacing w:val="-2"/>
        </w:rPr>
        <w:t>探索在代表活动阵地召开建议面商会、回访会、评估会，推动建议办理高质量。组织代表与部分选民进行座谈，制定群众意见处理反馈流程，对群众反映的问题，形成转办反馈机制，极大丰富人大代表联系人民群众的形式。对选民群众所反映的涉及城市管理、环境卫生整治、道路修复、完善老旧居民小区等民生方面的意见建议，精准聚焦，提出建议。</w:t>
      </w:r>
    </w:p>
    <w:p>
      <w:pPr>
        <w:pStyle w:val="3"/>
        <w:spacing w:before="9" w:line="350" w:lineRule="auto"/>
        <w:ind w:right="111" w:firstLine="623"/>
      </w:pPr>
      <w:r>
        <w:rPr>
          <w:rFonts w:hint="eastAsia" w:ascii="楷体_GB2312" w:hAnsi="楷体_GB2312" w:eastAsia="楷体_GB2312"/>
          <w:color w:val="050100"/>
          <w:spacing w:val="-2"/>
        </w:rPr>
        <w:t>（</w:t>
      </w:r>
      <w:r>
        <w:rPr>
          <w:rFonts w:hint="eastAsia" w:ascii="楷体_GB2312" w:hAnsi="楷体_GB2312" w:eastAsia="楷体_GB2312"/>
          <w:color w:val="050100"/>
          <w:spacing w:val="-2"/>
          <w:lang w:val="en-US" w:eastAsia="zh-CN"/>
        </w:rPr>
        <w:t>五</w:t>
      </w:r>
      <w:r>
        <w:rPr>
          <w:rFonts w:hint="eastAsia" w:ascii="楷体_GB2312" w:hAnsi="楷体_GB2312" w:eastAsia="楷体_GB2312"/>
          <w:color w:val="050100"/>
          <w:spacing w:val="-2"/>
        </w:rPr>
        <w:t>）结合履职做好服务。</w:t>
      </w:r>
      <w:r>
        <w:rPr>
          <w:color w:val="050100"/>
          <w:spacing w:val="-2"/>
        </w:rPr>
        <w:t>建立完整的代表履职活动档案，组织代表在活动阵地开展述职评议，建立代表履职积分记录，线上线下公开履职情况，接受选民的测评监督。主动向选民报告履职情况，接受</w:t>
      </w:r>
      <w:r>
        <w:rPr>
          <w:color w:val="050100"/>
          <w:spacing w:val="-10"/>
        </w:rPr>
        <w:t>选民的现场评议和测评监督，每季度公开代表活动阵地“活跃度指标”</w:t>
      </w:r>
      <w:r>
        <w:rPr>
          <w:color w:val="050100"/>
          <w:spacing w:val="-2"/>
        </w:rPr>
        <w:t>排名，有力促进各代表活动阵地提升效能。</w:t>
      </w:r>
    </w:p>
    <w:p>
      <w:pPr>
        <w:pStyle w:val="3"/>
        <w:spacing w:before="11"/>
        <w:ind w:left="897"/>
        <w:outlineLvl w:val="0"/>
        <w:rPr>
          <w:rFonts w:ascii="黑体" w:eastAsia="黑体"/>
        </w:rPr>
      </w:pPr>
      <w:bookmarkStart w:id="29" w:name="_Toc26291"/>
      <w:bookmarkStart w:id="30" w:name="_Toc11"/>
      <w:r>
        <w:rPr>
          <w:rFonts w:ascii="黑体" w:eastAsia="黑体"/>
          <w:color w:val="050100"/>
          <w:spacing w:val="-2"/>
        </w:rPr>
        <w:t>二、经验启示</w:t>
      </w:r>
      <w:bookmarkEnd w:id="29"/>
      <w:bookmarkEnd w:id="30"/>
    </w:p>
    <w:p>
      <w:pPr>
        <w:pStyle w:val="3"/>
        <w:spacing w:before="228" w:line="350" w:lineRule="auto"/>
        <w:ind w:right="268" w:firstLine="623"/>
        <w:jc w:val="both"/>
      </w:pPr>
      <w:r>
        <w:rPr>
          <w:color w:val="050100"/>
          <w:spacing w:val="-2"/>
        </w:rPr>
        <w:t>代表工作站的设立，成为制度宣传的阵地、工作展示的平台、解决问题的枢纽、联系群众的桥梁，此项工作得到了全国人大、省人大的高度肯定。</w:t>
      </w:r>
    </w:p>
    <w:p>
      <w:pPr>
        <w:pStyle w:val="3"/>
        <w:spacing w:before="4" w:line="350" w:lineRule="auto"/>
        <w:ind w:right="270" w:firstLine="623"/>
        <w:jc w:val="both"/>
      </w:pPr>
      <w:r>
        <w:drawing>
          <wp:anchor distT="0" distB="0" distL="0" distR="0" simplePos="0" relativeHeight="251663360" behindDoc="1" locked="0" layoutInCell="1" allowOverlap="1">
            <wp:simplePos x="0" y="0"/>
            <wp:positionH relativeFrom="page">
              <wp:posOffset>5623560</wp:posOffset>
            </wp:positionH>
            <wp:positionV relativeFrom="paragraph">
              <wp:posOffset>36830</wp:posOffset>
            </wp:positionV>
            <wp:extent cx="187325" cy="1905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anchor>
        </w:drawing>
      </w:r>
      <w:r>
        <w:rPr>
          <w:rFonts w:hint="eastAsia" w:ascii="楷体_GB2312" w:hAnsi="楷体_GB2312" w:eastAsia="楷体_GB2312"/>
          <w:color w:val="050100"/>
          <w:spacing w:val="-2"/>
        </w:rPr>
        <w:t>（一）搭建平台是关键。</w:t>
      </w:r>
      <w:r>
        <w:rPr>
          <w:color w:val="050100"/>
          <w:spacing w:val="-2"/>
        </w:rPr>
        <w:t>通过党建引领，多载体融，实现了社区共建范围和资源领域扩大，各方共建代表活动阵地。五级人大代表</w:t>
      </w:r>
      <w:r>
        <w:rPr>
          <w:color w:val="050100"/>
          <w:spacing w:val="-1"/>
        </w:rPr>
        <w:t>通过信息化管理方式，统筹安排入驻代表活动阵地，形成联系服务群</w:t>
      </w:r>
    </w:p>
    <w:p>
      <w:pPr>
        <w:spacing w:after="0" w:line="350" w:lineRule="auto"/>
        <w:jc w:val="both"/>
        <w:sectPr>
          <w:pgSz w:w="11910" w:h="16840"/>
          <w:pgMar w:top="1040" w:right="860" w:bottom="660" w:left="860" w:header="0" w:footer="473" w:gutter="0"/>
          <w:pgNumType w:fmt="decimal"/>
          <w:cols w:space="720" w:num="1"/>
        </w:sectPr>
      </w:pPr>
    </w:p>
    <w:p>
      <w:pPr>
        <w:pStyle w:val="3"/>
        <w:spacing w:before="31" w:line="350" w:lineRule="auto"/>
        <w:ind w:right="111"/>
      </w:pPr>
      <w:r>
        <w:rPr>
          <w:color w:val="050100"/>
          <w:spacing w:val="-6"/>
        </w:rPr>
        <w:t>众的有效网络格局，实现联系沟通“零距离”，履职服务“全天候”，</w:t>
      </w:r>
      <w:r>
        <w:rPr>
          <w:color w:val="050100"/>
          <w:spacing w:val="-2"/>
        </w:rPr>
        <w:t>打通了代表听民意、解民忧的“最后一公里”。</w:t>
      </w:r>
    </w:p>
    <w:p>
      <w:pPr>
        <w:pStyle w:val="3"/>
        <w:spacing w:before="3" w:line="350" w:lineRule="auto"/>
        <w:ind w:right="267" w:firstLine="623"/>
        <w:jc w:val="both"/>
      </w:pPr>
      <w:r>
        <w:drawing>
          <wp:anchor distT="0" distB="0" distL="0" distR="0" simplePos="0" relativeHeight="251663360" behindDoc="1" locked="0" layoutInCell="1" allowOverlap="1">
            <wp:simplePos x="0" y="0"/>
            <wp:positionH relativeFrom="page">
              <wp:posOffset>3176905</wp:posOffset>
            </wp:positionH>
            <wp:positionV relativeFrom="paragraph">
              <wp:posOffset>1179830</wp:posOffset>
            </wp:positionV>
            <wp:extent cx="187325" cy="190500"/>
            <wp:effectExtent l="0" t="0" r="0" b="0"/>
            <wp:wrapNone/>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anchor>
        </w:drawing>
      </w:r>
      <w:r>
        <w:rPr>
          <w:rFonts w:hint="eastAsia" w:ascii="楷体_GB2312" w:hAnsi="楷体_GB2312" w:eastAsia="楷体_GB2312"/>
          <w:color w:val="050100"/>
          <w:spacing w:val="-2"/>
        </w:rPr>
        <w:t>（二）整合资源是核心。</w:t>
      </w:r>
      <w:r>
        <w:rPr>
          <w:color w:val="050100"/>
          <w:spacing w:val="-2"/>
        </w:rPr>
        <w:t>突破以往人大代表进站按属地辖区划分的限制，将具有如医疗卫生、财政金融、法律服务等专业类别的省、市、县（区）三级人大代表作为驻站特邀代表。对外注重联动党委、政府、群团等职能部门，整专业人大代表工作站，助推代表工作站专业化发展。</w:t>
      </w:r>
    </w:p>
    <w:p>
      <w:pPr>
        <w:pStyle w:val="3"/>
        <w:spacing w:before="7" w:line="350" w:lineRule="auto"/>
        <w:ind w:right="268" w:firstLine="623"/>
        <w:jc w:val="both"/>
      </w:pPr>
      <w:r>
        <w:rPr>
          <w:rFonts w:hint="eastAsia" w:ascii="楷体_GB2312" w:eastAsia="楷体_GB2312"/>
          <w:color w:val="050100"/>
          <w:spacing w:val="-2"/>
        </w:rPr>
        <w:t>（三）作用发挥是目的。</w:t>
      </w:r>
      <w:r>
        <w:rPr>
          <w:color w:val="050100"/>
          <w:spacing w:val="-2"/>
        </w:rPr>
        <w:t>发挥新时代人大联系群众的主体作用，引导人大代表积极参与、主动作为。更加注重激发专业代表的履职能动性，提升代表的专业服务能力，发挥专业资源聚集辐射效应，推动代表联系群众更深入，回应服务群众更精准有效，努力实现人大代表职务与本职工作、联系群众与发挥优势、服务大局与自我提升的有机</w:t>
      </w:r>
      <w:r>
        <w:rPr>
          <w:color w:val="050100"/>
          <w:spacing w:val="5"/>
        </w:rPr>
        <w:t>结</w:t>
      </w:r>
      <w:r>
        <w:rPr>
          <w:color w:val="050100"/>
          <w:position w:val="-2"/>
        </w:rPr>
        <w:drawing>
          <wp:inline distT="0" distB="0" distL="0" distR="0">
            <wp:extent cx="187325" cy="190500"/>
            <wp:effectExtent l="0" t="0" r="0" b="0"/>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，推动人大代表工作取得新成效。</w:t>
      </w:r>
    </w:p>
    <w:p>
      <w:pPr>
        <w:pStyle w:val="3"/>
        <w:spacing w:before="8"/>
        <w:ind w:left="897"/>
        <w:rPr>
          <w:b/>
          <w:bCs/>
        </w:rPr>
      </w:pPr>
      <w:r>
        <w:rPr>
          <w:b/>
          <w:bCs/>
          <w:color w:val="050100"/>
          <w:spacing w:val="-2"/>
        </w:rPr>
        <w:t>【研讨题】</w:t>
      </w:r>
    </w:p>
    <w:p>
      <w:pPr>
        <w:pStyle w:val="10"/>
        <w:numPr>
          <w:ilvl w:val="0"/>
          <w:numId w:val="5"/>
        </w:numPr>
        <w:tabs>
          <w:tab w:val="left" w:pos="1301"/>
        </w:tabs>
        <w:spacing w:before="190" w:after="0" w:line="350" w:lineRule="auto"/>
        <w:ind w:left="273" w:right="260" w:firstLine="623"/>
        <w:jc w:val="left"/>
        <w:rPr>
          <w:sz w:val="32"/>
        </w:rPr>
      </w:pPr>
      <w:r>
        <w:rPr>
          <w:color w:val="050100"/>
          <w:spacing w:val="12"/>
          <w:sz w:val="32"/>
        </w:rPr>
        <w:t>如何</w:t>
      </w:r>
      <w:r>
        <w:rPr>
          <w:color w:val="050100"/>
          <w:spacing w:val="17"/>
          <w:sz w:val="32"/>
        </w:rPr>
        <w:t>结</w:t>
      </w:r>
      <w:r>
        <w:rPr>
          <w:color w:val="050100"/>
          <w:position w:val="-2"/>
          <w:sz w:val="32"/>
        </w:rPr>
        <w:drawing>
          <wp:inline distT="0" distB="0" distL="0" distR="0">
            <wp:extent cx="187325" cy="190500"/>
            <wp:effectExtent l="0" t="0" r="0" b="0"/>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spacing w:val="12"/>
          <w:sz w:val="32"/>
        </w:rPr>
        <w:t>工作职责创建有效载</w:t>
      </w:r>
      <w:r>
        <w:rPr>
          <w:color w:val="050100"/>
          <w:sz w:val="32"/>
        </w:rPr>
        <w:t>体</w:t>
      </w:r>
      <w:r>
        <w:rPr>
          <w:color w:val="050100"/>
          <w:spacing w:val="12"/>
          <w:sz w:val="32"/>
        </w:rPr>
        <w:t>，丰富拓展与基层群众的联</w:t>
      </w:r>
      <w:r>
        <w:rPr>
          <w:color w:val="050100"/>
          <w:spacing w:val="-4"/>
          <w:sz w:val="32"/>
        </w:rPr>
        <w:t>系方式？</w:t>
      </w:r>
    </w:p>
    <w:p>
      <w:pPr>
        <w:pStyle w:val="10"/>
        <w:numPr>
          <w:ilvl w:val="0"/>
          <w:numId w:val="5"/>
        </w:numPr>
        <w:tabs>
          <w:tab w:val="left" w:pos="1298"/>
        </w:tabs>
        <w:spacing w:before="3" w:after="0" w:line="240" w:lineRule="auto"/>
        <w:ind w:left="1297" w:right="0" w:hanging="401"/>
        <w:jc w:val="left"/>
        <w:rPr>
          <w:sz w:val="32"/>
        </w:rPr>
      </w:pPr>
      <w:r>
        <w:rPr>
          <w:color w:val="050100"/>
          <w:spacing w:val="-1"/>
          <w:sz w:val="32"/>
        </w:rPr>
        <w:t>如何推进机关党建，增强为民服务实效？</w:t>
      </w:r>
    </w:p>
    <w:p>
      <w:pPr>
        <w:spacing w:after="0" w:line="240" w:lineRule="auto"/>
        <w:jc w:val="left"/>
        <w:rPr>
          <w:sz w:val="32"/>
        </w:rPr>
        <w:sectPr>
          <w:pgSz w:w="11910" w:h="16840"/>
          <w:pgMar w:top="1040" w:right="860" w:bottom="660" w:left="860" w:header="0" w:footer="473" w:gutter="0"/>
          <w:pgNumType w:fmt="decimal"/>
          <w:cols w:space="720" w:num="1"/>
        </w:sectPr>
      </w:pPr>
    </w:p>
    <w:p>
      <w:pPr>
        <w:pStyle w:val="2"/>
        <w:bidi w:val="0"/>
        <w:rPr>
          <w:rFonts w:hint="eastAsia" w:ascii="方正小标宋_GBK" w:eastAsia="方正小标宋_GBK"/>
          <w:color w:val="231F20"/>
          <w:spacing w:val="-10"/>
        </w:rPr>
      </w:pPr>
      <w:bookmarkStart w:id="31" w:name="_Toc5440"/>
      <w:r>
        <w:rPr>
          <w:rFonts w:hint="eastAsia"/>
        </w:rPr>
        <w:t>党建带群建</w:t>
      </w:r>
      <w:r>
        <w:rPr>
          <w:rFonts w:hint="eastAsia"/>
        </w:rPr>
        <w:tab/>
      </w:r>
      <w:r>
        <w:rPr>
          <w:rFonts w:hint="eastAsia"/>
        </w:rPr>
        <w:t>双向同共建</w:t>
      </w:r>
      <w:bookmarkEnd w:id="31"/>
    </w:p>
    <w:p>
      <w:pPr>
        <w:spacing w:before="0" w:line="648" w:lineRule="exact"/>
        <w:ind w:left="0" w:right="0" w:firstLine="0"/>
        <w:jc w:val="center"/>
        <w:rPr>
          <w:rFonts w:hint="eastAsia" w:ascii="方正小标宋_GBK" w:eastAsia="方正小标宋_GBK"/>
          <w:color w:val="231F20"/>
          <w:spacing w:val="-10"/>
          <w:sz w:val="44"/>
        </w:rPr>
      </w:pPr>
    </w:p>
    <w:p>
      <w:pPr>
        <w:pStyle w:val="3"/>
        <w:spacing w:before="291" w:line="350" w:lineRule="auto"/>
        <w:ind w:right="270" w:firstLine="623"/>
        <w:jc w:val="both"/>
      </w:pPr>
      <w:r>
        <w:rPr>
          <w:b/>
          <w:bCs/>
          <w:color w:val="050100"/>
        </w:rPr>
        <w:t>【引言】</w:t>
      </w:r>
      <w:r>
        <w:rPr>
          <w:color w:val="050100"/>
        </w:rPr>
        <w:t>昆明市人大常委会机关坚持“</w:t>
      </w:r>
      <w:r>
        <w:rPr>
          <w:color w:val="050100"/>
          <w:spacing w:val="7"/>
        </w:rPr>
        <w:t>整</w:t>
      </w:r>
      <w:r>
        <w:rPr>
          <w:color w:val="050100"/>
          <w:position w:val="-3"/>
        </w:rPr>
        <w:drawing>
          <wp:inline distT="0" distB="0" distL="0" distR="0">
            <wp:extent cx="187325" cy="190500"/>
            <wp:effectExtent l="0" t="0" r="0" b="0"/>
            <wp:docPr id="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资源、互相促进、形</w:t>
      </w:r>
      <w:r>
        <w:rPr>
          <w:color w:val="050100"/>
          <w:spacing w:val="6"/>
        </w:rPr>
        <w:t>成</w:t>
      </w:r>
      <w:r>
        <w:rPr>
          <w:color w:val="050100"/>
          <w:position w:val="-3"/>
        </w:rPr>
        <w:drawing>
          <wp:inline distT="0" distB="0" distL="0" distR="0">
            <wp:extent cx="187325" cy="190500"/>
            <wp:effectExtent l="0" t="0" r="0" b="0"/>
            <wp:docPr id="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力”原则，实现党群组织共建互促，切实把党群组织优势转化为</w:t>
      </w:r>
      <w:r>
        <w:rPr>
          <w:color w:val="050100"/>
          <w:spacing w:val="-2"/>
        </w:rPr>
        <w:t>发展优势，把组织活力转化为发展活力。</w:t>
      </w:r>
    </w:p>
    <w:p>
      <w:pPr>
        <w:pStyle w:val="3"/>
        <w:spacing w:before="4" w:line="350" w:lineRule="auto"/>
        <w:ind w:right="111" w:firstLine="623"/>
      </w:pPr>
      <w:r>
        <w:rPr>
          <w:b/>
          <w:bCs/>
          <w:color w:val="050100"/>
          <w:spacing w:val="-26"/>
        </w:rPr>
        <w:t>【摘要】</w:t>
      </w:r>
      <w:r>
        <w:rPr>
          <w:color w:val="050100"/>
          <w:spacing w:val="-26"/>
        </w:rPr>
        <w:t>立足党建这个核心，牢牢把握“建”这个根本，突出“带”</w:t>
      </w:r>
      <w:r>
        <w:rPr>
          <w:color w:val="050100"/>
          <w:spacing w:val="-6"/>
        </w:rPr>
        <w:t>这个关键，从“抓‘带’重‘促’双提升”“‘经’‘纬’交错强‘工</w:t>
      </w:r>
    </w:p>
    <w:p>
      <w:pPr>
        <w:pStyle w:val="3"/>
        <w:spacing w:before="3" w:line="350" w:lineRule="auto"/>
        <w:ind w:right="268"/>
        <w:jc w:val="both"/>
      </w:pPr>
      <w:r>
        <w:rPr>
          <w:color w:val="050100"/>
          <w:spacing w:val="-2"/>
        </w:rPr>
        <w:t>建’”“活动创新强‘青建’”“组织引领强‘妇建’”四个方面阐述了昆明市人大常委会机关党群组织共建互促、切实把党群组织优势转化为发展优势的经验和做法，总结了“强化党建带领作用，是提升机关群团组织工作的核心要义”“强化党群联动效应，是提升机关党群队伍默契的重要保障”“强化群团内在活力，是破解机关党建难点问题的有效助推”三个方面的经验启示。</w:t>
      </w:r>
    </w:p>
    <w:p>
      <w:pPr>
        <w:pStyle w:val="3"/>
        <w:spacing w:before="8"/>
        <w:ind w:left="897"/>
      </w:pPr>
      <w:r>
        <w:rPr>
          <w:b/>
          <w:bCs/>
          <w:color w:val="050100"/>
        </w:rPr>
        <w:t>【关键词】</w:t>
      </w:r>
      <w:r>
        <w:rPr>
          <w:color w:val="050100"/>
        </w:rPr>
        <w:t>党建带群建、共建互促、</w:t>
      </w:r>
      <w:r>
        <w:rPr>
          <w:color w:val="050100"/>
          <w:spacing w:val="15"/>
        </w:rPr>
        <w:t>整</w:t>
      </w:r>
      <w:r>
        <w:rPr>
          <w:color w:val="050100"/>
          <w:position w:val="-3"/>
        </w:rPr>
        <w:drawing>
          <wp:inline distT="0" distB="0" distL="0" distR="0">
            <wp:extent cx="187325" cy="190500"/>
            <wp:effectExtent l="0" t="0" r="0" b="0"/>
            <wp:docPr id="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资源、活</w:t>
      </w:r>
      <w:r>
        <w:rPr>
          <w:color w:val="050100"/>
          <w:spacing w:val="-10"/>
        </w:rPr>
        <w:t>力</w:t>
      </w:r>
    </w:p>
    <w:p>
      <w:pPr>
        <w:pStyle w:val="3"/>
        <w:spacing w:before="190"/>
        <w:ind w:left="897"/>
      </w:pPr>
      <w:r>
        <w:rPr>
          <w:b/>
          <w:bCs/>
          <w:color w:val="050100"/>
          <w:spacing w:val="-2"/>
        </w:rPr>
        <w:t>【案例正文】</w:t>
      </w:r>
    </w:p>
    <w:p>
      <w:pPr>
        <w:pStyle w:val="3"/>
        <w:spacing w:before="186"/>
        <w:ind w:left="897"/>
        <w:outlineLvl w:val="0"/>
        <w:rPr>
          <w:rFonts w:ascii="黑体" w:eastAsia="黑体"/>
        </w:rPr>
      </w:pPr>
      <w:bookmarkStart w:id="32" w:name="_Toc16967"/>
      <w:bookmarkStart w:id="33" w:name="_Toc16609"/>
      <w:r>
        <w:rPr>
          <w:rFonts w:ascii="黑体" w:eastAsia="黑体"/>
          <w:color w:val="050100"/>
          <w:spacing w:val="-2"/>
        </w:rPr>
        <w:t>一、主要做法</w:t>
      </w:r>
      <w:bookmarkEnd w:id="32"/>
      <w:bookmarkEnd w:id="33"/>
    </w:p>
    <w:p>
      <w:pPr>
        <w:pStyle w:val="3"/>
        <w:spacing w:before="227" w:line="350" w:lineRule="auto"/>
        <w:ind w:right="268" w:firstLine="623"/>
        <w:jc w:val="both"/>
      </w:pPr>
      <w:r>
        <w:rPr>
          <w:rFonts w:hint="eastAsia" w:ascii="楷体_GB2312" w:hAnsi="楷体_GB2312" w:eastAsia="楷体_GB2312"/>
          <w:color w:val="050100"/>
          <w:spacing w:val="-2"/>
        </w:rPr>
        <w:t>（一）抓“带”重“促”双提升。</w:t>
      </w:r>
      <w:r>
        <w:rPr>
          <w:color w:val="050100"/>
          <w:spacing w:val="-2"/>
        </w:rPr>
        <w:t>抓牢“带”的责任，以党组织的力量带领群团组织全面提升，促使群团组织在党组织带领下共同发展，实现机关党群建设一体化。注重“促”的作用，发挥群团组织特有功能，为党建工作凝聚力量、注入活力。</w:t>
      </w:r>
    </w:p>
    <w:p>
      <w:pPr>
        <w:pStyle w:val="3"/>
        <w:spacing w:before="6" w:line="350" w:lineRule="auto"/>
        <w:ind w:right="267" w:firstLine="623"/>
        <w:jc w:val="both"/>
      </w:pPr>
      <w:r>
        <w:rPr>
          <w:rFonts w:hint="eastAsia" w:ascii="楷体_GB2312" w:hAnsi="楷体_GB2312" w:eastAsia="楷体_GB2312"/>
          <w:color w:val="050100"/>
          <w:spacing w:val="-2"/>
        </w:rPr>
        <w:t>（二）“经”“纬”交错强“工建”。</w:t>
      </w:r>
      <w:r>
        <w:rPr>
          <w:color w:val="050100"/>
          <w:spacing w:val="-2"/>
        </w:rPr>
        <w:t>围绕中心工作，完善基层</w:t>
      </w:r>
      <w:r>
        <w:rPr>
          <w:color w:val="050100"/>
          <w:spacing w:val="-4"/>
        </w:rPr>
        <w:t xml:space="preserve">工会组织设置，依托党支部的设置范围，建立 </w:t>
      </w:r>
      <w:r>
        <w:rPr>
          <w:color w:val="050100"/>
        </w:rPr>
        <w:t>8</w:t>
      </w:r>
      <w:r>
        <w:rPr>
          <w:color w:val="050100"/>
          <w:spacing w:val="-10"/>
        </w:rPr>
        <w:t xml:space="preserve"> 个工会小组作为工建</w:t>
      </w:r>
    </w:p>
    <w:p>
      <w:pPr>
        <w:pStyle w:val="3"/>
        <w:spacing w:before="3"/>
        <w:jc w:val="both"/>
      </w:pPr>
      <w:r>
        <w:rPr>
          <w:color w:val="050100"/>
        </w:rPr>
        <w:t>的“经线”，依托职工兴趣爱好，建立 15</w:t>
      </w:r>
      <w:r>
        <w:rPr>
          <w:color w:val="050100"/>
          <w:spacing w:val="-1"/>
        </w:rPr>
        <w:t xml:space="preserve"> 个工会兴趣小组，作为工</w:t>
      </w:r>
    </w:p>
    <w:p>
      <w:pPr>
        <w:spacing w:after="0"/>
        <w:jc w:val="both"/>
        <w:sectPr>
          <w:pgSz w:w="11910" w:h="16840"/>
          <w:pgMar w:top="1540" w:right="860" w:bottom="660" w:left="860" w:header="0" w:footer="473" w:gutter="0"/>
          <w:pgNumType w:fmt="decimal"/>
          <w:cols w:space="720" w:num="1"/>
        </w:sectPr>
      </w:pPr>
    </w:p>
    <w:p>
      <w:pPr>
        <w:pStyle w:val="3"/>
        <w:spacing w:before="31" w:line="350" w:lineRule="auto"/>
        <w:ind w:right="271"/>
        <w:jc w:val="both"/>
      </w:pPr>
      <w:r>
        <w:rPr>
          <w:color w:val="050100"/>
          <w:spacing w:val="-2"/>
        </w:rPr>
        <w:t>建的“纬线”，开展“我们的节日”、职工乒乓球、羽毛球比赛等活动，以开展文体活动增强机关干部职工凝聚力和向心力。注重对干部职工的关心关爱，增强干部职工的归属感和荣誉感。</w:t>
      </w:r>
    </w:p>
    <w:p>
      <w:pPr>
        <w:pStyle w:val="3"/>
        <w:spacing w:before="4" w:line="350" w:lineRule="auto"/>
        <w:ind w:right="268" w:firstLine="623"/>
        <w:jc w:val="both"/>
      </w:pPr>
      <w:r>
        <w:rPr>
          <w:rFonts w:hint="eastAsia" w:ascii="楷体_GB2312" w:hAnsi="楷体_GB2312" w:eastAsia="楷体_GB2312"/>
          <w:color w:val="050100"/>
          <w:spacing w:val="-2"/>
        </w:rPr>
        <w:t>（三）活动创新强“青建”。</w:t>
      </w:r>
      <w:r>
        <w:rPr>
          <w:color w:val="050100"/>
          <w:spacing w:val="-2"/>
        </w:rPr>
        <w:t>以服务青年发展为宗旨，强化党对青年工作的领导作用，完善青委会工作机制，坚持定期向机关党委汇</w:t>
      </w:r>
      <w:r>
        <w:rPr>
          <w:color w:val="050100"/>
        </w:rPr>
        <w:t>报工作和活动信息季度报送机制。</w:t>
      </w:r>
      <w:r>
        <w:rPr>
          <w:color w:val="050100"/>
          <w:spacing w:val="6"/>
        </w:rPr>
        <w:t>结</w:t>
      </w:r>
      <w:r>
        <w:rPr>
          <w:color w:val="050100"/>
          <w:position w:val="-2"/>
        </w:rPr>
        <w:drawing>
          <wp:inline distT="0" distB="0" distL="0" distR="0">
            <wp:extent cx="187325" cy="190500"/>
            <wp:effectExtent l="0" t="0" r="0" b="0"/>
            <wp:docPr id="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重要节日，创建“学雷锋日”</w:t>
      </w:r>
      <w:r>
        <w:rPr>
          <w:color w:val="050100"/>
          <w:spacing w:val="-2"/>
        </w:rPr>
        <w:t>志愿服务、清明节“网上祭英烈”、“五四青年节”纪念等三大常态化品牌。创新组织学习活动，将“青年大学习”“青年读书会”等契</w:t>
      </w:r>
      <w:r>
        <w:rPr>
          <w:color w:val="050100"/>
          <w:spacing w:val="-1"/>
        </w:rPr>
        <w:t>入到党建活动中，推动党建带青建，发挥青年突击队和生力军作用。</w:t>
      </w:r>
    </w:p>
    <w:p>
      <w:pPr>
        <w:pStyle w:val="3"/>
        <w:spacing w:before="8" w:line="350" w:lineRule="auto"/>
        <w:ind w:right="111" w:firstLine="623"/>
      </w:pPr>
      <w:r>
        <w:rPr>
          <w:rFonts w:hint="eastAsia" w:ascii="楷体_GB2312" w:hAnsi="楷体_GB2312" w:eastAsia="楷体_GB2312"/>
          <w:color w:val="050100"/>
          <w:spacing w:val="-2"/>
        </w:rPr>
        <w:t>（四</w:t>
      </w:r>
      <w:r>
        <w:rPr>
          <w:rFonts w:hint="eastAsia" w:ascii="楷体_GB2312" w:hAnsi="楷体_GB2312" w:eastAsia="楷体_GB2312"/>
          <w:color w:val="050100"/>
          <w:spacing w:val="-107"/>
        </w:rPr>
        <w:t>）</w:t>
      </w:r>
      <w:r>
        <w:rPr>
          <w:rFonts w:hint="eastAsia" w:ascii="楷体_GB2312" w:hAnsi="楷体_GB2312" w:eastAsia="楷体_GB2312"/>
          <w:color w:val="050100"/>
          <w:spacing w:val="-35"/>
        </w:rPr>
        <w:t>组织引领强“妇建”。</w:t>
      </w:r>
      <w:r>
        <w:rPr>
          <w:color w:val="050100"/>
          <w:spacing w:val="-24"/>
        </w:rPr>
        <w:t>探索“组织联建、队伍联管、活动联办、</w:t>
      </w:r>
      <w:r>
        <w:rPr>
          <w:color w:val="050100"/>
          <w:spacing w:val="-14"/>
        </w:rPr>
        <w:t>制度联创”的工作机制，充分彰显党领导下的妇女组织的作用和价值。</w:t>
      </w:r>
      <w:r>
        <w:rPr>
          <w:color w:val="050100"/>
          <w:spacing w:val="-2"/>
        </w:rPr>
        <w:t>围绕引领巾帼有作为、建新功。开展“‘三·八’节弘扬家庭美德”</w:t>
      </w:r>
      <w:r>
        <w:rPr>
          <w:color w:val="050100"/>
        </w:rPr>
        <w:t>等活动，最大限度调动妇女姐妹的积极性主动性创造性。</w:t>
      </w:r>
      <w:r>
        <w:rPr>
          <w:color w:val="050100"/>
          <w:spacing w:val="6"/>
        </w:rPr>
        <w:t>配</w:t>
      </w:r>
      <w:r>
        <w:rPr>
          <w:color w:val="050100"/>
          <w:position w:val="-2"/>
        </w:rPr>
        <w:drawing>
          <wp:inline distT="0" distB="0" distL="0" distR="0">
            <wp:extent cx="187325" cy="190500"/>
            <wp:effectExtent l="0" t="0" r="0" b="0"/>
            <wp:docPr id="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rPr>
        <w:t>机关党</w:t>
      </w:r>
      <w:r>
        <w:rPr>
          <w:color w:val="050100"/>
          <w:spacing w:val="-2"/>
        </w:rPr>
        <w:t>委组织开展以“树廉洁家风、建文明家庭”为主题的领导干部廉洁家庭警示教育活动，提升领导干部家庭以德齐家、以廉保家意识。</w:t>
      </w:r>
    </w:p>
    <w:p>
      <w:pPr>
        <w:pStyle w:val="3"/>
        <w:spacing w:before="23"/>
        <w:ind w:left="897"/>
        <w:outlineLvl w:val="0"/>
        <w:rPr>
          <w:rFonts w:ascii="黑体" w:eastAsia="黑体"/>
        </w:rPr>
      </w:pPr>
      <w:bookmarkStart w:id="34" w:name="_Toc27577"/>
      <w:bookmarkStart w:id="35" w:name="_Toc24434"/>
      <w:r>
        <w:rPr>
          <w:rFonts w:ascii="黑体" w:eastAsia="黑体"/>
          <w:color w:val="050100"/>
          <w:spacing w:val="-2"/>
        </w:rPr>
        <w:t>二、经验启示</w:t>
      </w:r>
      <w:bookmarkEnd w:id="34"/>
      <w:bookmarkEnd w:id="35"/>
    </w:p>
    <w:p>
      <w:pPr>
        <w:pStyle w:val="3"/>
        <w:spacing w:before="228" w:line="350" w:lineRule="auto"/>
        <w:ind w:right="111" w:firstLine="623"/>
      </w:pPr>
      <w:r>
        <w:rPr>
          <w:color w:val="050100"/>
          <w:spacing w:val="-2"/>
        </w:rPr>
        <w:t>通过党建带群建、群建促党建，实现了党群共建，激发党组织的</w:t>
      </w:r>
      <w:r>
        <w:rPr>
          <w:color w:val="050100"/>
          <w:spacing w:val="-7"/>
        </w:rPr>
        <w:t>创造力、凝聚力、战斗力，彰显群团组织的向心力、执行力、影响力。</w:t>
      </w:r>
    </w:p>
    <w:p>
      <w:pPr>
        <w:pStyle w:val="3"/>
        <w:spacing w:before="3" w:line="350" w:lineRule="auto"/>
        <w:ind w:right="111" w:firstLine="623"/>
      </w:pPr>
      <w:r>
        <w:rPr>
          <w:rFonts w:hint="eastAsia" w:ascii="楷体_GB2312" w:hAnsi="楷体_GB2312" w:eastAsia="楷体_GB2312"/>
          <w:color w:val="050100"/>
          <w:spacing w:val="-2"/>
        </w:rPr>
        <w:t>（一</w:t>
      </w:r>
      <w:r>
        <w:rPr>
          <w:rFonts w:hint="eastAsia" w:ascii="楷体_GB2312" w:hAnsi="楷体_GB2312" w:eastAsia="楷体_GB2312"/>
          <w:color w:val="050100"/>
          <w:spacing w:val="-53"/>
        </w:rPr>
        <w:t>）</w:t>
      </w:r>
      <w:r>
        <w:rPr>
          <w:rFonts w:hint="eastAsia" w:ascii="楷体_GB2312" w:hAnsi="楷体_GB2312" w:eastAsia="楷体_GB2312"/>
          <w:color w:val="050100"/>
          <w:spacing w:val="-8"/>
        </w:rPr>
        <w:t>强化党建带领作用，是提升机关群团组织工作的核心要义。</w:t>
      </w:r>
      <w:r>
        <w:rPr>
          <w:color w:val="050100"/>
          <w:spacing w:val="-2"/>
        </w:rPr>
        <w:t>党建是各类组织之“魂”，开展群团工作，“根”在党建，要不断强</w:t>
      </w:r>
      <w:r>
        <w:rPr>
          <w:color w:val="050100"/>
          <w:spacing w:val="-13"/>
        </w:rPr>
        <w:t>化组织的带动作用，使群团组织时刻在党组织的关心支持下开展工作，</w:t>
      </w:r>
      <w:r>
        <w:rPr>
          <w:color w:val="050100"/>
          <w:spacing w:val="-2"/>
        </w:rPr>
        <w:t>确保群团工作“根”扎得深、扎得正，从而“养分充足”，不断提升工作水平。</w:t>
      </w:r>
    </w:p>
    <w:p>
      <w:pPr>
        <w:pStyle w:val="3"/>
        <w:spacing w:before="31" w:line="350" w:lineRule="auto"/>
        <w:ind w:right="269" w:firstLine="640" w:firstLineChars="200"/>
        <w:jc w:val="both"/>
        <w:rPr>
          <w:rFonts w:hint="eastAsia" w:ascii="楷体_GB2312" w:eastAsia="楷体_GB2312"/>
          <w:color w:val="050100"/>
          <w:spacing w:val="-7"/>
        </w:rPr>
      </w:pPr>
      <w:r>
        <w:rPr>
          <w:rFonts w:hint="eastAsia" w:ascii="楷体_GB2312" w:eastAsia="楷体_GB2312"/>
          <w:color w:val="050100"/>
        </w:rPr>
        <w:t>（二</w:t>
      </w:r>
      <w:r>
        <w:rPr>
          <w:rFonts w:hint="eastAsia" w:ascii="楷体_GB2312" w:eastAsia="楷体_GB2312"/>
          <w:color w:val="050100"/>
          <w:spacing w:val="-53"/>
        </w:rPr>
        <w:t>）</w:t>
      </w:r>
      <w:r>
        <w:rPr>
          <w:rFonts w:hint="eastAsia" w:ascii="楷体_GB2312" w:eastAsia="楷体_GB2312"/>
          <w:color w:val="050100"/>
          <w:spacing w:val="-7"/>
        </w:rPr>
        <w:t>强化党群联动效应，是提升机关党群队伍默契的重要保障。</w:t>
      </w:r>
    </w:p>
    <w:p>
      <w:pPr>
        <w:pStyle w:val="3"/>
        <w:spacing w:before="31" w:line="350" w:lineRule="auto"/>
        <w:ind w:right="269"/>
        <w:jc w:val="both"/>
        <w:rPr>
          <w:rFonts w:hint="eastAsia" w:ascii="楷体_GB2312" w:eastAsia="楷体_GB2312"/>
          <w:color w:val="050100"/>
          <w:spacing w:val="-7"/>
        </w:rPr>
      </w:pPr>
    </w:p>
    <w:p>
      <w:pPr>
        <w:pStyle w:val="3"/>
        <w:spacing w:before="31" w:line="350" w:lineRule="auto"/>
        <w:ind w:right="269"/>
        <w:jc w:val="both"/>
      </w:pPr>
      <w:r>
        <w:rPr>
          <w:color w:val="050100"/>
          <w:spacing w:val="-2"/>
        </w:rPr>
        <w:t>党建要从严从实，群建方式灵活多样，党建与群建各具工作特质，但目标和方向是一致的，党建与群建的联动，既能推动党群队伍规范有序，又使机关氛围活力四射。</w:t>
      </w:r>
    </w:p>
    <w:p>
      <w:pPr>
        <w:pStyle w:val="3"/>
        <w:spacing w:before="4" w:line="350" w:lineRule="auto"/>
        <w:ind w:right="111" w:firstLine="623"/>
      </w:pPr>
      <w:r>
        <w:rPr>
          <w:rFonts w:hint="eastAsia" w:ascii="楷体_GB2312" w:eastAsia="楷体_GB2312"/>
          <w:color w:val="050100"/>
          <w:spacing w:val="-2"/>
        </w:rPr>
        <w:t>（三</w:t>
      </w:r>
      <w:r>
        <w:rPr>
          <w:rFonts w:hint="eastAsia" w:ascii="楷体_GB2312" w:eastAsia="楷体_GB2312"/>
          <w:color w:val="050100"/>
          <w:spacing w:val="-53"/>
        </w:rPr>
        <w:t>）</w:t>
      </w:r>
      <w:r>
        <w:rPr>
          <w:rFonts w:hint="eastAsia" w:ascii="楷体_GB2312" w:eastAsia="楷体_GB2312"/>
          <w:color w:val="050100"/>
          <w:spacing w:val="-8"/>
        </w:rPr>
        <w:t>强化群团内在活力，是破解机关党建难点问题的有效助推。</w:t>
      </w:r>
      <w:r>
        <w:rPr>
          <w:color w:val="050100"/>
          <w:spacing w:val="-2"/>
        </w:rPr>
        <w:t>要破解机关党建难点问题，提升党群队伍内在活力是关键。通过加强群团工作，将党的建设内容融入到干部职工喜闻乐见形式中，以润物无声的方式激发队伍活力，更好促进党建工作。</w:t>
      </w:r>
    </w:p>
    <w:p>
      <w:pPr>
        <w:pStyle w:val="3"/>
        <w:spacing w:before="6"/>
        <w:ind w:left="897"/>
        <w:rPr>
          <w:b/>
          <w:bCs/>
        </w:rPr>
      </w:pPr>
      <w:r>
        <w:rPr>
          <w:b/>
          <w:bCs/>
          <w:color w:val="050100"/>
          <w:spacing w:val="-2"/>
        </w:rPr>
        <w:t>【研讨题】</w:t>
      </w:r>
    </w:p>
    <w:p>
      <w:pPr>
        <w:pStyle w:val="10"/>
        <w:numPr>
          <w:ilvl w:val="0"/>
          <w:numId w:val="6"/>
        </w:numPr>
        <w:tabs>
          <w:tab w:val="left" w:pos="1298"/>
        </w:tabs>
        <w:spacing w:before="190" w:after="0" w:line="240" w:lineRule="auto"/>
        <w:ind w:left="1297" w:right="0" w:hanging="401"/>
        <w:jc w:val="left"/>
        <w:rPr>
          <w:sz w:val="32"/>
        </w:rPr>
      </w:pPr>
      <w:r>
        <w:rPr>
          <w:color w:val="050100"/>
          <w:sz w:val="32"/>
        </w:rPr>
        <w:t>如何</w:t>
      </w:r>
      <w:r>
        <w:rPr>
          <w:color w:val="050100"/>
          <w:spacing w:val="15"/>
          <w:sz w:val="32"/>
        </w:rPr>
        <w:t>整</w:t>
      </w:r>
      <w:r>
        <w:rPr>
          <w:color w:val="050100"/>
          <w:position w:val="-2"/>
          <w:sz w:val="32"/>
        </w:rPr>
        <w:drawing>
          <wp:inline distT="0" distB="0" distL="0" distR="0">
            <wp:extent cx="187325" cy="190500"/>
            <wp:effectExtent l="0" t="0" r="3175" b="0"/>
            <wp:docPr id="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png"/>
                    <pic:cNvPicPr>
                      <a:picLocks noChangeAspect="1"/>
                    </pic:cNvPicPr>
                  </pic:nvPicPr>
                  <pic:blipFill>
                    <a:blip r:embed="rId13" cstate="print"/>
                    <a:stretch>
                      <a:fillRect/>
                    </a:stretch>
                  </pic:blipFill>
                  <pic:spPr>
                    <a:xfrm>
                      <a:off x="0" y="0"/>
                      <a:ext cx="187325" cy="190500"/>
                    </a:xfrm>
                    <a:prstGeom prst="rect">
                      <a:avLst/>
                    </a:prstGeom>
                  </pic:spPr>
                </pic:pic>
              </a:graphicData>
            </a:graphic>
          </wp:inline>
        </w:drawing>
      </w:r>
      <w:r>
        <w:rPr>
          <w:color w:val="050100"/>
          <w:sz w:val="32"/>
        </w:rPr>
        <w:t>资源，把党群组织优势转化为发展优势</w:t>
      </w:r>
      <w:r>
        <w:rPr>
          <w:color w:val="050100"/>
          <w:spacing w:val="-10"/>
          <w:sz w:val="32"/>
        </w:rPr>
        <w:t>？</w:t>
      </w:r>
    </w:p>
    <w:p>
      <w:pPr>
        <w:pStyle w:val="10"/>
        <w:numPr>
          <w:ilvl w:val="0"/>
          <w:numId w:val="6"/>
        </w:numPr>
        <w:tabs>
          <w:tab w:val="left" w:pos="1298"/>
        </w:tabs>
        <w:spacing w:before="190" w:after="0" w:line="240" w:lineRule="auto"/>
        <w:ind w:left="1297" w:right="0" w:hanging="401"/>
        <w:jc w:val="left"/>
        <w:rPr>
          <w:sz w:val="32"/>
        </w:rPr>
      </w:pPr>
      <w:r>
        <w:rPr>
          <w:color w:val="050100"/>
          <w:spacing w:val="-1"/>
          <w:sz w:val="32"/>
        </w:rPr>
        <w:t>如何增强群团组织活力，强化机关文化建</w:t>
      </w:r>
      <w:r>
        <w:rPr>
          <w:rFonts w:hint="eastAsia"/>
          <w:color w:val="050100"/>
          <w:spacing w:val="-1"/>
          <w:sz w:val="32"/>
          <w:lang w:val="en-US" w:eastAsia="zh-CN"/>
        </w:rPr>
        <w:t>设</w:t>
      </w:r>
      <w:r>
        <w:rPr>
          <w:color w:val="050100"/>
          <w:spacing w:val="-10"/>
          <w:sz w:val="32"/>
        </w:rPr>
        <w:t>？</w:t>
      </w:r>
    </w:p>
    <w:p>
      <w:pPr>
        <w:pStyle w:val="10"/>
        <w:numPr>
          <w:ilvl w:val="0"/>
          <w:numId w:val="0"/>
        </w:numPr>
        <w:tabs>
          <w:tab w:val="left" w:pos="1298"/>
        </w:tabs>
        <w:spacing w:before="190" w:after="0" w:line="240" w:lineRule="auto"/>
        <w:ind w:left="896" w:leftChars="0" w:right="0" w:rightChars="0"/>
        <w:jc w:val="left"/>
        <w:rPr>
          <w:sz w:val="15"/>
        </w:rPr>
      </w:pPr>
    </w:p>
    <w:p>
      <w:pPr>
        <w:pStyle w:val="3"/>
        <w:spacing w:before="7"/>
        <w:ind w:left="897"/>
        <w:rPr>
          <w:rFonts w:hint="eastAsia" w:ascii="楷体_GB2312" w:eastAsia="楷体_GB2312"/>
        </w:rPr>
        <w:sectPr>
          <w:pgSz w:w="11910" w:h="16840"/>
          <w:pgMar w:top="1040" w:right="860" w:bottom="660" w:left="860" w:header="0" w:footer="473" w:gutter="0"/>
          <w:pgNumType w:fmt="decimal"/>
          <w:cols w:space="720" w:num="1"/>
        </w:sectPr>
      </w:pPr>
    </w:p>
    <w:p>
      <w:pPr>
        <w:pStyle w:val="10"/>
        <w:numPr>
          <w:ilvl w:val="0"/>
          <w:numId w:val="0"/>
        </w:numPr>
        <w:tabs>
          <w:tab w:val="left" w:pos="1298"/>
        </w:tabs>
        <w:spacing w:before="190" w:after="0" w:line="240" w:lineRule="auto"/>
        <w:ind w:right="0" w:rightChars="0"/>
        <w:jc w:val="left"/>
        <w:rPr>
          <w:sz w:val="15"/>
        </w:rPr>
      </w:pPr>
    </w:p>
    <w:sectPr>
      <w:footerReference r:id="rId10" w:type="default"/>
      <w:pgSz w:w="11910" w:h="16840"/>
      <w:pgMar w:top="1920" w:right="860" w:bottom="280" w:left="86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30A14F4-BE51-4BFC-B008-7FA01465B7E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embedRegular r:id="rId2" w:fontKey="{D5615173-60F6-41E9-92B3-87FB0C55FBE8}"/>
  </w:font>
  <w:font w:name="仿宋_GB2312">
    <w:panose1 w:val="02010609030101010101"/>
    <w:charset w:val="86"/>
    <w:family w:val="modern"/>
    <w:pitch w:val="default"/>
    <w:sig w:usb0="00000001" w:usb1="080E0000" w:usb2="00000000" w:usb3="00000000" w:csb0="00040000" w:csb1="00000000"/>
    <w:embedRegular r:id="rId3" w:fontKey="{03B334E9-4876-4788-B703-91BE43B24214}"/>
  </w:font>
  <w:font w:name="方正小标宋_GBK">
    <w:panose1 w:val="02000000000000000000"/>
    <w:charset w:val="86"/>
    <w:family w:val="script"/>
    <w:pitch w:val="default"/>
    <w:sig w:usb0="A00002BF" w:usb1="38CF7CFA" w:usb2="00082016" w:usb3="00000000" w:csb0="00040001" w:csb1="00000000"/>
    <w:embedRegular r:id="rId4" w:fontKey="{15902EDB-C278-41C4-8BCA-02C111DD7EE0}"/>
  </w:font>
  <w:font w:name="楷体">
    <w:panose1 w:val="02010609060101010101"/>
    <w:charset w:val="86"/>
    <w:family w:val="modern"/>
    <w:pitch w:val="default"/>
    <w:sig w:usb0="800002BF" w:usb1="38CF7CFA" w:usb2="00000016" w:usb3="00000000" w:csb0="00040001" w:csb1="00000000"/>
    <w:embedRegular r:id="rId5" w:fontKey="{B72D4F36-EE6F-43F2-BB74-C8399DEA974F}"/>
  </w:font>
  <w:font w:name="楷体_GB2312">
    <w:panose1 w:val="02010609030101010101"/>
    <w:charset w:val="86"/>
    <w:family w:val="modern"/>
    <w:pitch w:val="default"/>
    <w:sig w:usb0="00000001" w:usb1="080E0000" w:usb2="00000000" w:usb3="00000000" w:csb0="00040000" w:csb1="00000000"/>
    <w:embedRegular r:id="rId6" w:fontKey="{EB15A608-E094-46F0-BDCB-F928B466D3A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379"/>
      </w:tabs>
      <w:spacing w:line="14" w:lineRule="auto"/>
      <w:ind w:left="0"/>
      <w:rPr>
        <w:sz w:val="20"/>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736600" cy="177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736600" cy="177800"/>
                      </a:xfrm>
                      <a:prstGeom prst="rect">
                        <a:avLst/>
                      </a:prstGeom>
                      <a:noFill/>
                      <a:ln>
                        <a:noFill/>
                      </a:ln>
                    </wps:spPr>
                    <wps:txbx>
                      <w:txbxContent>
                        <w:p>
                          <w:pPr>
                            <w:spacing w:before="0" w:line="280" w:lineRule="exact"/>
                            <w:ind w:left="20" w:right="0" w:firstLine="0"/>
                            <w:jc w:val="left"/>
                            <w:rPr>
                              <w:sz w:val="24"/>
                            </w:rPr>
                          </w:pPr>
                          <w:r>
                            <w:rPr>
                              <w:sz w:val="24"/>
                            </w:rPr>
                            <w:t xml:space="preserve">— </w:t>
                          </w:r>
                          <w:r>
                            <w:rPr>
                              <w:sz w:val="24"/>
                            </w:rPr>
                            <w:fldChar w:fldCharType="begin"/>
                          </w:r>
                          <w:r>
                            <w:rPr>
                              <w:sz w:val="24"/>
                            </w:rPr>
                            <w:instrText xml:space="preserve"> PAGE  \* MERGEFORMAT </w:instrText>
                          </w:r>
                          <w:r>
                            <w:rPr>
                              <w:sz w:val="24"/>
                            </w:rPr>
                            <w:fldChar w:fldCharType="separate"/>
                          </w:r>
                          <w:r>
                            <w:rPr>
                              <w:sz w:val="24"/>
                            </w:rPr>
                            <w:t>3</w:t>
                          </w:r>
                          <w:r>
                            <w:rPr>
                              <w:sz w:val="24"/>
                            </w:rPr>
                            <w:fldChar w:fldCharType="end"/>
                          </w:r>
                          <w:r>
                            <w:rPr>
                              <w:sz w:val="24"/>
                            </w:rPr>
                            <w:t xml:space="preserve"> —</w:t>
                          </w:r>
                        </w:p>
                      </w:txbxContent>
                    </wps:txbx>
                    <wps:bodyPr lIns="0" tIns="0" rIns="0" bIns="0" upright="1"/>
                  </wps:wsp>
                </a:graphicData>
              </a:graphic>
            </wp:anchor>
          </w:drawing>
        </mc:Choice>
        <mc:Fallback>
          <w:pict>
            <v:shape id="_x0000_s1026" o:spid="_x0000_s1026" o:spt="202" type="#_x0000_t202" style="position:absolute;left:0pt;margin-top:0pt;height:14pt;width:58pt;mso-position-horizontal:center;mso-position-horizontal-relative:margin;z-index:251664384;mso-width-relative:page;mso-height-relative:page;" filled="f" stroked="f" coordsize="21600,21600" o:gfxdata="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AI0knTAAAABAEAAA8AAAAAAAAAAQAgAAAAIgAAAGRycy9kb3ducmV2LnhtbFBLAQIUABQAAAAI&#10;AIdO4kCbZfNyuQEAAHEDAAAOAAAAAAAAAAEAIAAAACIBAABkcnMvZTJvRG9jLnhtbFBLBQYAAAAA&#10;BgAGAFkBAABNBQAAAAA=&#10;">
              <v:fill on="f" focussize="0,0"/>
              <v:stroke on="f"/>
              <v:imagedata o:title=""/>
              <o:lock v:ext="edit" aspectratio="f"/>
              <v:textbox inset="0mm,0mm,0mm,0mm">
                <w:txbxContent>
                  <w:p>
                    <w:pPr>
                      <w:spacing w:before="0" w:line="280" w:lineRule="exact"/>
                      <w:ind w:left="20" w:right="0" w:firstLine="0"/>
                      <w:jc w:val="left"/>
                      <w:rPr>
                        <w:sz w:val="24"/>
                      </w:rPr>
                    </w:pPr>
                    <w:r>
                      <w:rPr>
                        <w:sz w:val="24"/>
                      </w:rPr>
                      <w:t xml:space="preserve">— </w:t>
                    </w:r>
                    <w:r>
                      <w:rPr>
                        <w:sz w:val="24"/>
                      </w:rPr>
                      <w:fldChar w:fldCharType="begin"/>
                    </w:r>
                    <w:r>
                      <w:rPr>
                        <w:sz w:val="24"/>
                      </w:rPr>
                      <w:instrText xml:space="preserve"> PAGE  \* MERGEFORMAT </w:instrText>
                    </w:r>
                    <w:r>
                      <w:rPr>
                        <w:sz w:val="24"/>
                      </w:rPr>
                      <w:fldChar w:fldCharType="separate"/>
                    </w:r>
                    <w:r>
                      <w:rPr>
                        <w:sz w:val="24"/>
                      </w:rPr>
                      <w:t>3</w:t>
                    </w:r>
                    <w:r>
                      <w:rPr>
                        <w:sz w:val="24"/>
                      </w:rPr>
                      <w:fldChar w:fldCharType="end"/>
                    </w:r>
                    <w:r>
                      <w:rPr>
                        <w:sz w:val="24"/>
                      </w:rPr>
                      <w:t xml:space="preserve"> —</w:t>
                    </w:r>
                  </w:p>
                </w:txbxContent>
              </v:textbox>
            </v:shape>
          </w:pict>
        </mc:Fallback>
      </mc:AlternateContent>
    </w:r>
    <w:r>
      <w:rPr>
        <w:rFonts w:hint="eastAsia"/>
        <w:sz w:val="20"/>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379"/>
      </w:tabs>
      <w:spacing w:line="14" w:lineRule="auto"/>
      <w:ind w:left="0"/>
      <w:rPr>
        <w:sz w:val="20"/>
      </w:rPr>
    </w:pPr>
    <w:r>
      <w:rPr>
        <w:rFonts w:hint="eastAsia"/>
        <w:sz w:val="20"/>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379"/>
      </w:tabs>
      <w:spacing w:line="14" w:lineRule="auto"/>
      <w:ind w:left="0"/>
      <w:rPr>
        <w:sz w:val="20"/>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736600" cy="177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736600" cy="177800"/>
                      </a:xfrm>
                      <a:prstGeom prst="rect">
                        <a:avLst/>
                      </a:prstGeom>
                      <a:noFill/>
                      <a:ln>
                        <a:noFill/>
                      </a:ln>
                    </wps:spPr>
                    <wps:txbx>
                      <w:txbxContent>
                        <w:p>
                          <w:pPr>
                            <w:spacing w:before="0" w:line="280" w:lineRule="exact"/>
                            <w:ind w:left="20" w:right="0" w:firstLine="0"/>
                            <w:jc w:val="left"/>
                            <w:rPr>
                              <w:sz w:val="24"/>
                            </w:rPr>
                          </w:pPr>
                          <w:r>
                            <w:rPr>
                              <w:sz w:val="24"/>
                            </w:rPr>
                            <w:t xml:space="preserve">— </w:t>
                          </w:r>
                          <w:r>
                            <w:rPr>
                              <w:sz w:val="24"/>
                            </w:rPr>
                            <w:fldChar w:fldCharType="begin"/>
                          </w:r>
                          <w:r>
                            <w:rPr>
                              <w:sz w:val="24"/>
                            </w:rPr>
                            <w:instrText xml:space="preserve"> PAGE  \* MERGEFORMAT </w:instrText>
                          </w:r>
                          <w:r>
                            <w:rPr>
                              <w:sz w:val="24"/>
                            </w:rPr>
                            <w:fldChar w:fldCharType="separate"/>
                          </w:r>
                          <w:r>
                            <w:rPr>
                              <w:sz w:val="24"/>
                            </w:rPr>
                            <w:t>3</w:t>
                          </w:r>
                          <w:r>
                            <w:rPr>
                              <w:sz w:val="24"/>
                            </w:rPr>
                            <w:fldChar w:fldCharType="end"/>
                          </w:r>
                          <w:r>
                            <w:rPr>
                              <w:sz w:val="24"/>
                            </w:rPr>
                            <w:t xml:space="preserve"> —</w:t>
                          </w:r>
                        </w:p>
                      </w:txbxContent>
                    </wps:txbx>
                    <wps:bodyPr lIns="0" tIns="0" rIns="0" bIns="0" upright="1"/>
                  </wps:wsp>
                </a:graphicData>
              </a:graphic>
            </wp:anchor>
          </w:drawing>
        </mc:Choice>
        <mc:Fallback>
          <w:pict>
            <v:shape id="_x0000_s1026" o:spid="_x0000_s1026" o:spt="202" type="#_x0000_t202" style="position:absolute;left:0pt;margin-top:0pt;height:14pt;width:58pt;mso-position-horizontal:center;mso-position-horizontal-relative:margin;z-index:251666432;mso-width-relative:page;mso-height-relative:page;" filled="f" stroked="f" coordsize="21600,21600" o:gfxdata="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AI0knTAAAABAEAAA8AAAAAAAAAAQAgAAAAIgAAAGRycy9kb3ducmV2LnhtbFBLAQIUABQAAAAI&#10;AIdO4kBq3UobuQEAAHMDAAAOAAAAAAAAAAEAIAAAACIBAABkcnMvZTJvRG9jLnhtbFBLBQYAAAAA&#10;BgAGAFkBAABNBQAAAAA=&#10;">
              <v:fill on="f" focussize="0,0"/>
              <v:stroke on="f"/>
              <v:imagedata o:title=""/>
              <o:lock v:ext="edit" aspectratio="f"/>
              <v:textbox inset="0mm,0mm,0mm,0mm">
                <w:txbxContent>
                  <w:p>
                    <w:pPr>
                      <w:spacing w:before="0" w:line="280" w:lineRule="exact"/>
                      <w:ind w:left="20" w:right="0" w:firstLine="0"/>
                      <w:jc w:val="left"/>
                      <w:rPr>
                        <w:sz w:val="24"/>
                      </w:rPr>
                    </w:pPr>
                    <w:r>
                      <w:rPr>
                        <w:sz w:val="24"/>
                      </w:rPr>
                      <w:t xml:space="preserve">— </w:t>
                    </w:r>
                    <w:r>
                      <w:rPr>
                        <w:sz w:val="24"/>
                      </w:rPr>
                      <w:fldChar w:fldCharType="begin"/>
                    </w:r>
                    <w:r>
                      <w:rPr>
                        <w:sz w:val="24"/>
                      </w:rPr>
                      <w:instrText xml:space="preserve"> PAGE  \* MERGEFORMAT </w:instrText>
                    </w:r>
                    <w:r>
                      <w:rPr>
                        <w:sz w:val="24"/>
                      </w:rPr>
                      <w:fldChar w:fldCharType="separate"/>
                    </w:r>
                    <w:r>
                      <w:rPr>
                        <w:sz w:val="24"/>
                      </w:rPr>
                      <w:t>3</w:t>
                    </w:r>
                    <w:r>
                      <w:rPr>
                        <w:sz w:val="24"/>
                      </w:rPr>
                      <w:fldChar w:fldCharType="end"/>
                    </w:r>
                    <w:r>
                      <w:rPr>
                        <w:sz w:val="24"/>
                      </w:rPr>
                      <w:t xml:space="preserve"> —</w:t>
                    </w:r>
                  </w:p>
                </w:txbxContent>
              </v:textbox>
            </v:shape>
          </w:pict>
        </mc:Fallback>
      </mc:AlternateContent>
    </w:r>
    <w:r>
      <w:rPr>
        <w:rFonts w:hint="eastAsia"/>
        <w:sz w:val="20"/>
        <w:lang w:eastAsia="zh-CN"/>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273" w:hanging="404"/>
        <w:jc w:val="left"/>
      </w:pPr>
      <w:rPr>
        <w:rFonts w:hint="default" w:ascii="仿宋_GB2312" w:hAnsi="仿宋_GB2312" w:eastAsia="仿宋_GB2312" w:cs="仿宋_GB2312"/>
        <w:b w:val="0"/>
        <w:bCs w:val="0"/>
        <w:i w:val="0"/>
        <w:iCs w:val="0"/>
        <w:color w:val="050100"/>
        <w:w w:val="100"/>
        <w:sz w:val="32"/>
        <w:szCs w:val="32"/>
        <w:lang w:val="en-US" w:eastAsia="zh-CN" w:bidi="ar-SA"/>
      </w:rPr>
    </w:lvl>
    <w:lvl w:ilvl="1" w:tentative="0">
      <w:start w:val="0"/>
      <w:numFmt w:val="bullet"/>
      <w:lvlText w:val="•"/>
      <w:lvlJc w:val="left"/>
      <w:pPr>
        <w:ind w:left="1270" w:hanging="404"/>
      </w:pPr>
      <w:rPr>
        <w:rFonts w:hint="default"/>
        <w:lang w:val="en-US" w:eastAsia="zh-CN" w:bidi="ar-SA"/>
      </w:rPr>
    </w:lvl>
    <w:lvl w:ilvl="2" w:tentative="0">
      <w:start w:val="0"/>
      <w:numFmt w:val="bullet"/>
      <w:lvlText w:val="•"/>
      <w:lvlJc w:val="left"/>
      <w:pPr>
        <w:ind w:left="2261" w:hanging="404"/>
      </w:pPr>
      <w:rPr>
        <w:rFonts w:hint="default"/>
        <w:lang w:val="en-US" w:eastAsia="zh-CN" w:bidi="ar-SA"/>
      </w:rPr>
    </w:lvl>
    <w:lvl w:ilvl="3" w:tentative="0">
      <w:start w:val="0"/>
      <w:numFmt w:val="bullet"/>
      <w:lvlText w:val="•"/>
      <w:lvlJc w:val="left"/>
      <w:pPr>
        <w:ind w:left="3251" w:hanging="404"/>
      </w:pPr>
      <w:rPr>
        <w:rFonts w:hint="default"/>
        <w:lang w:val="en-US" w:eastAsia="zh-CN" w:bidi="ar-SA"/>
      </w:rPr>
    </w:lvl>
    <w:lvl w:ilvl="4" w:tentative="0">
      <w:start w:val="0"/>
      <w:numFmt w:val="bullet"/>
      <w:lvlText w:val="•"/>
      <w:lvlJc w:val="left"/>
      <w:pPr>
        <w:ind w:left="4242" w:hanging="404"/>
      </w:pPr>
      <w:rPr>
        <w:rFonts w:hint="default"/>
        <w:lang w:val="en-US" w:eastAsia="zh-CN" w:bidi="ar-SA"/>
      </w:rPr>
    </w:lvl>
    <w:lvl w:ilvl="5" w:tentative="0">
      <w:start w:val="0"/>
      <w:numFmt w:val="bullet"/>
      <w:lvlText w:val="•"/>
      <w:lvlJc w:val="left"/>
      <w:pPr>
        <w:ind w:left="5232" w:hanging="404"/>
      </w:pPr>
      <w:rPr>
        <w:rFonts w:hint="default"/>
        <w:lang w:val="en-US" w:eastAsia="zh-CN" w:bidi="ar-SA"/>
      </w:rPr>
    </w:lvl>
    <w:lvl w:ilvl="6" w:tentative="0">
      <w:start w:val="0"/>
      <w:numFmt w:val="bullet"/>
      <w:lvlText w:val="•"/>
      <w:lvlJc w:val="left"/>
      <w:pPr>
        <w:ind w:left="6223" w:hanging="404"/>
      </w:pPr>
      <w:rPr>
        <w:rFonts w:hint="default"/>
        <w:lang w:val="en-US" w:eastAsia="zh-CN" w:bidi="ar-SA"/>
      </w:rPr>
    </w:lvl>
    <w:lvl w:ilvl="7" w:tentative="0">
      <w:start w:val="0"/>
      <w:numFmt w:val="bullet"/>
      <w:lvlText w:val="•"/>
      <w:lvlJc w:val="left"/>
      <w:pPr>
        <w:ind w:left="7213" w:hanging="404"/>
      </w:pPr>
      <w:rPr>
        <w:rFonts w:hint="default"/>
        <w:lang w:val="en-US" w:eastAsia="zh-CN" w:bidi="ar-SA"/>
      </w:rPr>
    </w:lvl>
    <w:lvl w:ilvl="8" w:tentative="0">
      <w:start w:val="0"/>
      <w:numFmt w:val="bullet"/>
      <w:lvlText w:val="•"/>
      <w:lvlJc w:val="left"/>
      <w:pPr>
        <w:ind w:left="8204" w:hanging="404"/>
      </w:pPr>
      <w:rPr>
        <w:rFonts w:hint="default"/>
        <w:lang w:val="en-US" w:eastAsia="zh-CN" w:bidi="ar-SA"/>
      </w:rPr>
    </w:lvl>
  </w:abstractNum>
  <w:abstractNum w:abstractNumId="1">
    <w:nsid w:val="BF205925"/>
    <w:multiLevelType w:val="multilevel"/>
    <w:tmpl w:val="BF205925"/>
    <w:lvl w:ilvl="0" w:tentative="0">
      <w:start w:val="1"/>
      <w:numFmt w:val="decimal"/>
      <w:lvlText w:val="%1."/>
      <w:lvlJc w:val="left"/>
      <w:pPr>
        <w:ind w:left="1292" w:hanging="395"/>
        <w:jc w:val="left"/>
      </w:pPr>
      <w:rPr>
        <w:rFonts w:hint="default" w:ascii="仿宋_GB2312" w:hAnsi="仿宋_GB2312" w:eastAsia="仿宋_GB2312" w:cs="仿宋_GB2312"/>
        <w:b w:val="0"/>
        <w:bCs w:val="0"/>
        <w:i w:val="0"/>
        <w:iCs w:val="0"/>
        <w:color w:val="050100"/>
        <w:w w:val="100"/>
        <w:sz w:val="32"/>
        <w:szCs w:val="32"/>
        <w:lang w:val="en-US" w:eastAsia="zh-CN" w:bidi="ar-SA"/>
      </w:rPr>
    </w:lvl>
    <w:lvl w:ilvl="1" w:tentative="0">
      <w:start w:val="0"/>
      <w:numFmt w:val="bullet"/>
      <w:lvlText w:val="•"/>
      <w:lvlJc w:val="left"/>
      <w:pPr>
        <w:ind w:left="2188" w:hanging="395"/>
      </w:pPr>
      <w:rPr>
        <w:rFonts w:hint="default"/>
        <w:lang w:val="en-US" w:eastAsia="zh-CN" w:bidi="ar-SA"/>
      </w:rPr>
    </w:lvl>
    <w:lvl w:ilvl="2" w:tentative="0">
      <w:start w:val="0"/>
      <w:numFmt w:val="bullet"/>
      <w:lvlText w:val="•"/>
      <w:lvlJc w:val="left"/>
      <w:pPr>
        <w:ind w:left="3077" w:hanging="395"/>
      </w:pPr>
      <w:rPr>
        <w:rFonts w:hint="default"/>
        <w:lang w:val="en-US" w:eastAsia="zh-CN" w:bidi="ar-SA"/>
      </w:rPr>
    </w:lvl>
    <w:lvl w:ilvl="3" w:tentative="0">
      <w:start w:val="0"/>
      <w:numFmt w:val="bullet"/>
      <w:lvlText w:val="•"/>
      <w:lvlJc w:val="left"/>
      <w:pPr>
        <w:ind w:left="3965" w:hanging="395"/>
      </w:pPr>
      <w:rPr>
        <w:rFonts w:hint="default"/>
        <w:lang w:val="en-US" w:eastAsia="zh-CN" w:bidi="ar-SA"/>
      </w:rPr>
    </w:lvl>
    <w:lvl w:ilvl="4" w:tentative="0">
      <w:start w:val="0"/>
      <w:numFmt w:val="bullet"/>
      <w:lvlText w:val="•"/>
      <w:lvlJc w:val="left"/>
      <w:pPr>
        <w:ind w:left="4854" w:hanging="395"/>
      </w:pPr>
      <w:rPr>
        <w:rFonts w:hint="default"/>
        <w:lang w:val="en-US" w:eastAsia="zh-CN" w:bidi="ar-SA"/>
      </w:rPr>
    </w:lvl>
    <w:lvl w:ilvl="5" w:tentative="0">
      <w:start w:val="0"/>
      <w:numFmt w:val="bullet"/>
      <w:lvlText w:val="•"/>
      <w:lvlJc w:val="left"/>
      <w:pPr>
        <w:ind w:left="5742" w:hanging="395"/>
      </w:pPr>
      <w:rPr>
        <w:rFonts w:hint="default"/>
        <w:lang w:val="en-US" w:eastAsia="zh-CN" w:bidi="ar-SA"/>
      </w:rPr>
    </w:lvl>
    <w:lvl w:ilvl="6" w:tentative="0">
      <w:start w:val="0"/>
      <w:numFmt w:val="bullet"/>
      <w:lvlText w:val="•"/>
      <w:lvlJc w:val="left"/>
      <w:pPr>
        <w:ind w:left="6631" w:hanging="395"/>
      </w:pPr>
      <w:rPr>
        <w:rFonts w:hint="default"/>
        <w:lang w:val="en-US" w:eastAsia="zh-CN" w:bidi="ar-SA"/>
      </w:rPr>
    </w:lvl>
    <w:lvl w:ilvl="7" w:tentative="0">
      <w:start w:val="0"/>
      <w:numFmt w:val="bullet"/>
      <w:lvlText w:val="•"/>
      <w:lvlJc w:val="left"/>
      <w:pPr>
        <w:ind w:left="7519" w:hanging="395"/>
      </w:pPr>
      <w:rPr>
        <w:rFonts w:hint="default"/>
        <w:lang w:val="en-US" w:eastAsia="zh-CN" w:bidi="ar-SA"/>
      </w:rPr>
    </w:lvl>
    <w:lvl w:ilvl="8" w:tentative="0">
      <w:start w:val="0"/>
      <w:numFmt w:val="bullet"/>
      <w:lvlText w:val="•"/>
      <w:lvlJc w:val="left"/>
      <w:pPr>
        <w:ind w:left="8408" w:hanging="395"/>
      </w:pPr>
      <w:rPr>
        <w:rFonts w:hint="default"/>
        <w:lang w:val="en-US" w:eastAsia="zh-CN" w:bidi="ar-SA"/>
      </w:rPr>
    </w:lvl>
  </w:abstractNum>
  <w:abstractNum w:abstractNumId="2">
    <w:nsid w:val="CF092B84"/>
    <w:multiLevelType w:val="multilevel"/>
    <w:tmpl w:val="CF092B84"/>
    <w:lvl w:ilvl="0" w:tentative="0">
      <w:start w:val="1"/>
      <w:numFmt w:val="decimal"/>
      <w:lvlText w:val="%1."/>
      <w:lvlJc w:val="left"/>
      <w:pPr>
        <w:ind w:left="1297" w:hanging="400"/>
        <w:jc w:val="left"/>
      </w:pPr>
      <w:rPr>
        <w:rFonts w:hint="default" w:ascii="仿宋_GB2312" w:hAnsi="仿宋_GB2312" w:eastAsia="仿宋_GB2312" w:cs="仿宋_GB2312"/>
        <w:b w:val="0"/>
        <w:bCs w:val="0"/>
        <w:i w:val="0"/>
        <w:iCs w:val="0"/>
        <w:color w:val="050100"/>
        <w:w w:val="100"/>
        <w:sz w:val="32"/>
        <w:szCs w:val="32"/>
        <w:lang w:val="en-US" w:eastAsia="zh-CN" w:bidi="ar-SA"/>
      </w:rPr>
    </w:lvl>
    <w:lvl w:ilvl="1" w:tentative="0">
      <w:start w:val="0"/>
      <w:numFmt w:val="bullet"/>
      <w:lvlText w:val="•"/>
      <w:lvlJc w:val="left"/>
      <w:pPr>
        <w:ind w:left="2188" w:hanging="400"/>
      </w:pPr>
      <w:rPr>
        <w:rFonts w:hint="default"/>
        <w:lang w:val="en-US" w:eastAsia="zh-CN" w:bidi="ar-SA"/>
      </w:rPr>
    </w:lvl>
    <w:lvl w:ilvl="2" w:tentative="0">
      <w:start w:val="0"/>
      <w:numFmt w:val="bullet"/>
      <w:lvlText w:val="•"/>
      <w:lvlJc w:val="left"/>
      <w:pPr>
        <w:ind w:left="3077" w:hanging="400"/>
      </w:pPr>
      <w:rPr>
        <w:rFonts w:hint="default"/>
        <w:lang w:val="en-US" w:eastAsia="zh-CN" w:bidi="ar-SA"/>
      </w:rPr>
    </w:lvl>
    <w:lvl w:ilvl="3" w:tentative="0">
      <w:start w:val="0"/>
      <w:numFmt w:val="bullet"/>
      <w:lvlText w:val="•"/>
      <w:lvlJc w:val="left"/>
      <w:pPr>
        <w:ind w:left="3965" w:hanging="400"/>
      </w:pPr>
      <w:rPr>
        <w:rFonts w:hint="default"/>
        <w:lang w:val="en-US" w:eastAsia="zh-CN" w:bidi="ar-SA"/>
      </w:rPr>
    </w:lvl>
    <w:lvl w:ilvl="4" w:tentative="0">
      <w:start w:val="0"/>
      <w:numFmt w:val="bullet"/>
      <w:lvlText w:val="•"/>
      <w:lvlJc w:val="left"/>
      <w:pPr>
        <w:ind w:left="4854" w:hanging="400"/>
      </w:pPr>
      <w:rPr>
        <w:rFonts w:hint="default"/>
        <w:lang w:val="en-US" w:eastAsia="zh-CN" w:bidi="ar-SA"/>
      </w:rPr>
    </w:lvl>
    <w:lvl w:ilvl="5" w:tentative="0">
      <w:start w:val="0"/>
      <w:numFmt w:val="bullet"/>
      <w:lvlText w:val="•"/>
      <w:lvlJc w:val="left"/>
      <w:pPr>
        <w:ind w:left="5742" w:hanging="400"/>
      </w:pPr>
      <w:rPr>
        <w:rFonts w:hint="default"/>
        <w:lang w:val="en-US" w:eastAsia="zh-CN" w:bidi="ar-SA"/>
      </w:rPr>
    </w:lvl>
    <w:lvl w:ilvl="6" w:tentative="0">
      <w:start w:val="0"/>
      <w:numFmt w:val="bullet"/>
      <w:lvlText w:val="•"/>
      <w:lvlJc w:val="left"/>
      <w:pPr>
        <w:ind w:left="6631" w:hanging="400"/>
      </w:pPr>
      <w:rPr>
        <w:rFonts w:hint="default"/>
        <w:lang w:val="en-US" w:eastAsia="zh-CN" w:bidi="ar-SA"/>
      </w:rPr>
    </w:lvl>
    <w:lvl w:ilvl="7" w:tentative="0">
      <w:start w:val="0"/>
      <w:numFmt w:val="bullet"/>
      <w:lvlText w:val="•"/>
      <w:lvlJc w:val="left"/>
      <w:pPr>
        <w:ind w:left="7519" w:hanging="400"/>
      </w:pPr>
      <w:rPr>
        <w:rFonts w:hint="default"/>
        <w:lang w:val="en-US" w:eastAsia="zh-CN" w:bidi="ar-SA"/>
      </w:rPr>
    </w:lvl>
    <w:lvl w:ilvl="8" w:tentative="0">
      <w:start w:val="0"/>
      <w:numFmt w:val="bullet"/>
      <w:lvlText w:val="•"/>
      <w:lvlJc w:val="left"/>
      <w:pPr>
        <w:ind w:left="8408" w:hanging="400"/>
      </w:pPr>
      <w:rPr>
        <w:rFonts w:hint="default"/>
        <w:lang w:val="en-US" w:eastAsia="zh-CN" w:bidi="ar-SA"/>
      </w:rPr>
    </w:lvl>
  </w:abstractNum>
  <w:abstractNum w:abstractNumId="3">
    <w:nsid w:val="0053208E"/>
    <w:multiLevelType w:val="multilevel"/>
    <w:tmpl w:val="0053208E"/>
    <w:lvl w:ilvl="0" w:tentative="0">
      <w:start w:val="1"/>
      <w:numFmt w:val="decimal"/>
      <w:lvlText w:val="%1."/>
      <w:lvlJc w:val="left"/>
      <w:pPr>
        <w:ind w:left="288" w:hanging="404"/>
        <w:jc w:val="left"/>
      </w:pPr>
      <w:rPr>
        <w:rFonts w:hint="default" w:ascii="仿宋_GB2312" w:hAnsi="仿宋_GB2312" w:eastAsia="仿宋_GB2312" w:cs="仿宋_GB2312"/>
        <w:b w:val="0"/>
        <w:bCs w:val="0"/>
        <w:i w:val="0"/>
        <w:iCs w:val="0"/>
        <w:color w:val="050100"/>
        <w:w w:val="100"/>
        <w:sz w:val="32"/>
        <w:szCs w:val="32"/>
        <w:lang w:val="en-US" w:eastAsia="zh-CN" w:bidi="ar-SA"/>
      </w:rPr>
    </w:lvl>
    <w:lvl w:ilvl="1" w:tentative="0">
      <w:start w:val="0"/>
      <w:numFmt w:val="bullet"/>
      <w:lvlText w:val="•"/>
      <w:lvlJc w:val="left"/>
      <w:pPr>
        <w:ind w:left="1270" w:hanging="404"/>
      </w:pPr>
      <w:rPr>
        <w:rFonts w:hint="default"/>
        <w:lang w:val="en-US" w:eastAsia="zh-CN" w:bidi="ar-SA"/>
      </w:rPr>
    </w:lvl>
    <w:lvl w:ilvl="2" w:tentative="0">
      <w:start w:val="0"/>
      <w:numFmt w:val="bullet"/>
      <w:lvlText w:val="•"/>
      <w:lvlJc w:val="left"/>
      <w:pPr>
        <w:ind w:left="2261" w:hanging="404"/>
      </w:pPr>
      <w:rPr>
        <w:rFonts w:hint="default"/>
        <w:lang w:val="en-US" w:eastAsia="zh-CN" w:bidi="ar-SA"/>
      </w:rPr>
    </w:lvl>
    <w:lvl w:ilvl="3" w:tentative="0">
      <w:start w:val="0"/>
      <w:numFmt w:val="bullet"/>
      <w:lvlText w:val="•"/>
      <w:lvlJc w:val="left"/>
      <w:pPr>
        <w:ind w:left="3251" w:hanging="404"/>
      </w:pPr>
      <w:rPr>
        <w:rFonts w:hint="default"/>
        <w:lang w:val="en-US" w:eastAsia="zh-CN" w:bidi="ar-SA"/>
      </w:rPr>
    </w:lvl>
    <w:lvl w:ilvl="4" w:tentative="0">
      <w:start w:val="0"/>
      <w:numFmt w:val="bullet"/>
      <w:lvlText w:val="•"/>
      <w:lvlJc w:val="left"/>
      <w:pPr>
        <w:ind w:left="4242" w:hanging="404"/>
      </w:pPr>
      <w:rPr>
        <w:rFonts w:hint="default"/>
        <w:lang w:val="en-US" w:eastAsia="zh-CN" w:bidi="ar-SA"/>
      </w:rPr>
    </w:lvl>
    <w:lvl w:ilvl="5" w:tentative="0">
      <w:start w:val="0"/>
      <w:numFmt w:val="bullet"/>
      <w:lvlText w:val="•"/>
      <w:lvlJc w:val="left"/>
      <w:pPr>
        <w:ind w:left="5232" w:hanging="404"/>
      </w:pPr>
      <w:rPr>
        <w:rFonts w:hint="default"/>
        <w:lang w:val="en-US" w:eastAsia="zh-CN" w:bidi="ar-SA"/>
      </w:rPr>
    </w:lvl>
    <w:lvl w:ilvl="6" w:tentative="0">
      <w:start w:val="0"/>
      <w:numFmt w:val="bullet"/>
      <w:lvlText w:val="•"/>
      <w:lvlJc w:val="left"/>
      <w:pPr>
        <w:ind w:left="6223" w:hanging="404"/>
      </w:pPr>
      <w:rPr>
        <w:rFonts w:hint="default"/>
        <w:lang w:val="en-US" w:eastAsia="zh-CN" w:bidi="ar-SA"/>
      </w:rPr>
    </w:lvl>
    <w:lvl w:ilvl="7" w:tentative="0">
      <w:start w:val="0"/>
      <w:numFmt w:val="bullet"/>
      <w:lvlText w:val="•"/>
      <w:lvlJc w:val="left"/>
      <w:pPr>
        <w:ind w:left="7213" w:hanging="404"/>
      </w:pPr>
      <w:rPr>
        <w:rFonts w:hint="default"/>
        <w:lang w:val="en-US" w:eastAsia="zh-CN" w:bidi="ar-SA"/>
      </w:rPr>
    </w:lvl>
    <w:lvl w:ilvl="8" w:tentative="0">
      <w:start w:val="0"/>
      <w:numFmt w:val="bullet"/>
      <w:lvlText w:val="•"/>
      <w:lvlJc w:val="left"/>
      <w:pPr>
        <w:ind w:left="8204" w:hanging="404"/>
      </w:pPr>
      <w:rPr>
        <w:rFonts w:hint="default"/>
        <w:lang w:val="en-US" w:eastAsia="zh-CN" w:bidi="ar-SA"/>
      </w:rPr>
    </w:lvl>
  </w:abstractNum>
  <w:abstractNum w:abstractNumId="4">
    <w:nsid w:val="03D62ECE"/>
    <w:multiLevelType w:val="multilevel"/>
    <w:tmpl w:val="03D62ECE"/>
    <w:lvl w:ilvl="0" w:tentative="0">
      <w:start w:val="1"/>
      <w:numFmt w:val="decimal"/>
      <w:lvlText w:val="%1."/>
      <w:lvlJc w:val="left"/>
      <w:pPr>
        <w:ind w:left="1297" w:hanging="400"/>
        <w:jc w:val="left"/>
      </w:pPr>
      <w:rPr>
        <w:rFonts w:hint="default" w:ascii="仿宋_GB2312" w:hAnsi="仿宋_GB2312" w:eastAsia="仿宋_GB2312" w:cs="仿宋_GB2312"/>
        <w:b w:val="0"/>
        <w:bCs w:val="0"/>
        <w:i w:val="0"/>
        <w:iCs w:val="0"/>
        <w:color w:val="050100"/>
        <w:w w:val="100"/>
        <w:sz w:val="32"/>
        <w:szCs w:val="32"/>
        <w:lang w:val="en-US" w:eastAsia="zh-CN" w:bidi="ar-SA"/>
      </w:rPr>
    </w:lvl>
    <w:lvl w:ilvl="1" w:tentative="0">
      <w:start w:val="0"/>
      <w:numFmt w:val="bullet"/>
      <w:lvlText w:val="•"/>
      <w:lvlJc w:val="left"/>
      <w:pPr>
        <w:ind w:left="2188" w:hanging="400"/>
      </w:pPr>
      <w:rPr>
        <w:rFonts w:hint="default"/>
        <w:lang w:val="en-US" w:eastAsia="zh-CN" w:bidi="ar-SA"/>
      </w:rPr>
    </w:lvl>
    <w:lvl w:ilvl="2" w:tentative="0">
      <w:start w:val="0"/>
      <w:numFmt w:val="bullet"/>
      <w:lvlText w:val="•"/>
      <w:lvlJc w:val="left"/>
      <w:pPr>
        <w:ind w:left="3077" w:hanging="400"/>
      </w:pPr>
      <w:rPr>
        <w:rFonts w:hint="default"/>
        <w:lang w:val="en-US" w:eastAsia="zh-CN" w:bidi="ar-SA"/>
      </w:rPr>
    </w:lvl>
    <w:lvl w:ilvl="3" w:tentative="0">
      <w:start w:val="0"/>
      <w:numFmt w:val="bullet"/>
      <w:lvlText w:val="•"/>
      <w:lvlJc w:val="left"/>
      <w:pPr>
        <w:ind w:left="3965" w:hanging="400"/>
      </w:pPr>
      <w:rPr>
        <w:rFonts w:hint="default"/>
        <w:lang w:val="en-US" w:eastAsia="zh-CN" w:bidi="ar-SA"/>
      </w:rPr>
    </w:lvl>
    <w:lvl w:ilvl="4" w:tentative="0">
      <w:start w:val="0"/>
      <w:numFmt w:val="bullet"/>
      <w:lvlText w:val="•"/>
      <w:lvlJc w:val="left"/>
      <w:pPr>
        <w:ind w:left="4854" w:hanging="400"/>
      </w:pPr>
      <w:rPr>
        <w:rFonts w:hint="default"/>
        <w:lang w:val="en-US" w:eastAsia="zh-CN" w:bidi="ar-SA"/>
      </w:rPr>
    </w:lvl>
    <w:lvl w:ilvl="5" w:tentative="0">
      <w:start w:val="0"/>
      <w:numFmt w:val="bullet"/>
      <w:lvlText w:val="•"/>
      <w:lvlJc w:val="left"/>
      <w:pPr>
        <w:ind w:left="5742" w:hanging="400"/>
      </w:pPr>
      <w:rPr>
        <w:rFonts w:hint="default"/>
        <w:lang w:val="en-US" w:eastAsia="zh-CN" w:bidi="ar-SA"/>
      </w:rPr>
    </w:lvl>
    <w:lvl w:ilvl="6" w:tentative="0">
      <w:start w:val="0"/>
      <w:numFmt w:val="bullet"/>
      <w:lvlText w:val="•"/>
      <w:lvlJc w:val="left"/>
      <w:pPr>
        <w:ind w:left="6631" w:hanging="400"/>
      </w:pPr>
      <w:rPr>
        <w:rFonts w:hint="default"/>
        <w:lang w:val="en-US" w:eastAsia="zh-CN" w:bidi="ar-SA"/>
      </w:rPr>
    </w:lvl>
    <w:lvl w:ilvl="7" w:tentative="0">
      <w:start w:val="0"/>
      <w:numFmt w:val="bullet"/>
      <w:lvlText w:val="•"/>
      <w:lvlJc w:val="left"/>
      <w:pPr>
        <w:ind w:left="7519" w:hanging="400"/>
      </w:pPr>
      <w:rPr>
        <w:rFonts w:hint="default"/>
        <w:lang w:val="en-US" w:eastAsia="zh-CN" w:bidi="ar-SA"/>
      </w:rPr>
    </w:lvl>
    <w:lvl w:ilvl="8" w:tentative="0">
      <w:start w:val="0"/>
      <w:numFmt w:val="bullet"/>
      <w:lvlText w:val="•"/>
      <w:lvlJc w:val="left"/>
      <w:pPr>
        <w:ind w:left="8408" w:hanging="400"/>
      </w:pPr>
      <w:rPr>
        <w:rFonts w:hint="default"/>
        <w:lang w:val="en-US" w:eastAsia="zh-CN" w:bidi="ar-SA"/>
      </w:rPr>
    </w:lvl>
  </w:abstractNum>
  <w:abstractNum w:abstractNumId="5">
    <w:nsid w:val="59ADCABA"/>
    <w:multiLevelType w:val="multilevel"/>
    <w:tmpl w:val="59ADCABA"/>
    <w:lvl w:ilvl="0" w:tentative="0">
      <w:start w:val="1"/>
      <w:numFmt w:val="decimal"/>
      <w:lvlText w:val="%1."/>
      <w:lvlJc w:val="left"/>
      <w:pPr>
        <w:ind w:left="1294" w:hanging="398"/>
        <w:jc w:val="left"/>
      </w:pPr>
      <w:rPr>
        <w:rFonts w:hint="default" w:ascii="仿宋_GB2312" w:hAnsi="仿宋_GB2312" w:eastAsia="仿宋_GB2312" w:cs="仿宋_GB2312"/>
        <w:b w:val="0"/>
        <w:bCs w:val="0"/>
        <w:i w:val="0"/>
        <w:iCs w:val="0"/>
        <w:color w:val="050100"/>
        <w:w w:val="100"/>
        <w:sz w:val="32"/>
        <w:szCs w:val="32"/>
        <w:lang w:val="en-US" w:eastAsia="zh-CN" w:bidi="ar-SA"/>
      </w:rPr>
    </w:lvl>
    <w:lvl w:ilvl="1" w:tentative="0">
      <w:start w:val="0"/>
      <w:numFmt w:val="bullet"/>
      <w:lvlText w:val="•"/>
      <w:lvlJc w:val="left"/>
      <w:pPr>
        <w:ind w:left="2188" w:hanging="398"/>
      </w:pPr>
      <w:rPr>
        <w:rFonts w:hint="default"/>
        <w:lang w:val="en-US" w:eastAsia="zh-CN" w:bidi="ar-SA"/>
      </w:rPr>
    </w:lvl>
    <w:lvl w:ilvl="2" w:tentative="0">
      <w:start w:val="0"/>
      <w:numFmt w:val="bullet"/>
      <w:lvlText w:val="•"/>
      <w:lvlJc w:val="left"/>
      <w:pPr>
        <w:ind w:left="3077" w:hanging="398"/>
      </w:pPr>
      <w:rPr>
        <w:rFonts w:hint="default"/>
        <w:lang w:val="en-US" w:eastAsia="zh-CN" w:bidi="ar-SA"/>
      </w:rPr>
    </w:lvl>
    <w:lvl w:ilvl="3" w:tentative="0">
      <w:start w:val="0"/>
      <w:numFmt w:val="bullet"/>
      <w:lvlText w:val="•"/>
      <w:lvlJc w:val="left"/>
      <w:pPr>
        <w:ind w:left="3965" w:hanging="398"/>
      </w:pPr>
      <w:rPr>
        <w:rFonts w:hint="default"/>
        <w:lang w:val="en-US" w:eastAsia="zh-CN" w:bidi="ar-SA"/>
      </w:rPr>
    </w:lvl>
    <w:lvl w:ilvl="4" w:tentative="0">
      <w:start w:val="0"/>
      <w:numFmt w:val="bullet"/>
      <w:lvlText w:val="•"/>
      <w:lvlJc w:val="left"/>
      <w:pPr>
        <w:ind w:left="4854" w:hanging="398"/>
      </w:pPr>
      <w:rPr>
        <w:rFonts w:hint="default"/>
        <w:lang w:val="en-US" w:eastAsia="zh-CN" w:bidi="ar-SA"/>
      </w:rPr>
    </w:lvl>
    <w:lvl w:ilvl="5" w:tentative="0">
      <w:start w:val="0"/>
      <w:numFmt w:val="bullet"/>
      <w:lvlText w:val="•"/>
      <w:lvlJc w:val="left"/>
      <w:pPr>
        <w:ind w:left="5742" w:hanging="398"/>
      </w:pPr>
      <w:rPr>
        <w:rFonts w:hint="default"/>
        <w:lang w:val="en-US" w:eastAsia="zh-CN" w:bidi="ar-SA"/>
      </w:rPr>
    </w:lvl>
    <w:lvl w:ilvl="6" w:tentative="0">
      <w:start w:val="0"/>
      <w:numFmt w:val="bullet"/>
      <w:lvlText w:val="•"/>
      <w:lvlJc w:val="left"/>
      <w:pPr>
        <w:ind w:left="6631" w:hanging="398"/>
      </w:pPr>
      <w:rPr>
        <w:rFonts w:hint="default"/>
        <w:lang w:val="en-US" w:eastAsia="zh-CN" w:bidi="ar-SA"/>
      </w:rPr>
    </w:lvl>
    <w:lvl w:ilvl="7" w:tentative="0">
      <w:start w:val="0"/>
      <w:numFmt w:val="bullet"/>
      <w:lvlText w:val="•"/>
      <w:lvlJc w:val="left"/>
      <w:pPr>
        <w:ind w:left="7519" w:hanging="398"/>
      </w:pPr>
      <w:rPr>
        <w:rFonts w:hint="default"/>
        <w:lang w:val="en-US" w:eastAsia="zh-CN" w:bidi="ar-SA"/>
      </w:rPr>
    </w:lvl>
    <w:lvl w:ilvl="8" w:tentative="0">
      <w:start w:val="0"/>
      <w:numFmt w:val="bullet"/>
      <w:lvlText w:val="•"/>
      <w:lvlJc w:val="left"/>
      <w:pPr>
        <w:ind w:left="8408" w:hanging="398"/>
      </w:pPr>
      <w:rPr>
        <w:rFonts w:hint="default"/>
        <w:lang w:val="en-US" w:eastAsia="zh-CN" w:bidi="ar-SA"/>
      </w:rPr>
    </w:lvl>
  </w:abstractNum>
  <w:num w:numId="1">
    <w:abstractNumId w:val="3"/>
  </w:num>
  <w:num w:numId="2">
    <w:abstractNumId w:val="2"/>
  </w:num>
  <w:num w:numId="3">
    <w:abstractNumId w:val="5"/>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TrueTypeFonts/>
  <w:saveSubsetFonts/>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N2YzNjBkOTgyNWQ1YTMxYzM3MzMwNWFiODNmOWIzYWMifQ=="/>
  </w:docVars>
  <w:rsids>
    <w:rsidRoot w:val="00000000"/>
    <w:rsid w:val="0809595D"/>
    <w:rsid w:val="148D12A7"/>
    <w:rsid w:val="198A13B7"/>
    <w:rsid w:val="1BB37E93"/>
    <w:rsid w:val="1F7D00A5"/>
    <w:rsid w:val="2CAF36F6"/>
    <w:rsid w:val="2CE82382"/>
    <w:rsid w:val="3BDD2EC6"/>
    <w:rsid w:val="4E394395"/>
    <w:rsid w:val="4EF81801"/>
    <w:rsid w:val="58EE672B"/>
    <w:rsid w:val="6B481316"/>
    <w:rsid w:val="7A613271"/>
    <w:rsid w:val="7F8C1D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en-US" w:eastAsia="zh-CN" w:bidi="ar-SA"/>
    </w:rPr>
  </w:style>
  <w:style w:type="paragraph" w:styleId="2">
    <w:name w:val="heading 1"/>
    <w:basedOn w:val="1"/>
    <w:next w:val="1"/>
    <w:qFormat/>
    <w:uiPriority w:val="1"/>
    <w:pPr>
      <w:spacing w:line="700" w:lineRule="exact"/>
      <w:jc w:val="center"/>
      <w:outlineLvl w:val="0"/>
    </w:pPr>
    <w:rPr>
      <w:rFonts w:ascii="黑体" w:hAnsi="黑体" w:eastAsia="方正小标宋_GBK" w:cs="黑体"/>
      <w:sz w:val="44"/>
      <w:szCs w:val="38"/>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273"/>
    </w:pPr>
    <w:rPr>
      <w:rFonts w:ascii="仿宋_GB2312" w:hAnsi="仿宋_GB2312" w:eastAsia="仿宋_GB2312" w:cs="仿宋_GB2312"/>
      <w:sz w:val="32"/>
      <w:szCs w:val="32"/>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uiPriority w:val="0"/>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190"/>
      <w:ind w:left="1297" w:hanging="401"/>
    </w:pPr>
    <w:rPr>
      <w:rFonts w:ascii="仿宋_GB2312" w:hAnsi="仿宋_GB2312" w:eastAsia="仿宋_GB2312" w:cs="仿宋_GB2312"/>
      <w:lang w:val="en-US" w:eastAsia="zh-CN" w:bidi="ar-SA"/>
    </w:rPr>
  </w:style>
  <w:style w:type="paragraph" w:customStyle="1" w:styleId="11">
    <w:name w:val="Table Paragraph"/>
    <w:basedOn w:val="1"/>
    <w:qFormat/>
    <w:uiPriority w:val="1"/>
    <w:rPr>
      <w:lang w:val="en-US" w:eastAsia="zh-CN" w:bidi="ar-SA"/>
    </w:rPr>
  </w:style>
  <w:style w:type="paragraph" w:customStyle="1" w:styleId="12">
    <w:name w:val="WPSOffice手动目录 1"/>
    <w:qFormat/>
    <w:uiPriority w:val="0"/>
    <w:pPr>
      <w:ind w:leftChars="0"/>
    </w:pPr>
    <w:rPr>
      <w:rFonts w:asciiTheme="minorHAnsi" w:hAnsiTheme="minorHAnsi" w:eastAsiaTheme="minorHAnsi"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14294</Words>
  <Characters>14313</Characters>
  <TotalTime>0</TotalTime>
  <ScaleCrop>false</ScaleCrop>
  <LinksUpToDate>false</LinksUpToDate>
  <CharactersWithSpaces>14404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2023-05-09T06:28:00Z</dcterms:created>
  <dc:creator>40464</dc:creator>
  <cp:lastModifiedBy>泽</cp:lastModifiedBy>
  <dcterms:modified xsi:type="dcterms:W3CDTF">2023-05-16T06:19:47Z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2023-05-09T00:00:00Z</vt:filetime>
  </property>
  <property fmtid="{D5CDD505-2E9C-101B-9397-08002B2CF9AE}" pid="3" name="Creator">
    <vt:lpwstr>Adobe InDesign 15.0 (Windows)</vt:lpwstr>
  </property>
  <property fmtid="{D5CDD505-2E9C-101B-9397-08002B2CF9AE}" pid="4" name="LastSaved">
    <vt:filetime>2023-05-09T00:00:00Z</vt:filetime>
  </property>
  <property fmtid="{D5CDD505-2E9C-101B-9397-08002B2CF9AE}" pid="5" name="Producer">
    <vt:lpwstr>Adobe PDF Library 15.0</vt:lpwstr>
  </property>
  <property fmtid="{D5CDD505-2E9C-101B-9397-08002B2CF9AE}" pid="6" name="KSOProductBuildVer">
    <vt:lpwstr>2052-11.1.0.14309</vt:lpwstr>
  </property>
  <property fmtid="{D5CDD505-2E9C-101B-9397-08002B2CF9AE}" pid="7" name="ICV">
    <vt:lpwstr>A28D8203EC0F44B186EDC93B156A1E2E_13</vt:lpwstr>
  </property>
</Properties>
</file>